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Look w:val="01E0" w:firstRow="1" w:lastRow="1" w:firstColumn="1" w:lastColumn="1" w:noHBand="0" w:noVBand="0"/>
      </w:tblPr>
      <w:tblGrid>
        <w:gridCol w:w="1242"/>
        <w:gridCol w:w="2552"/>
        <w:gridCol w:w="717"/>
        <w:gridCol w:w="2293"/>
        <w:gridCol w:w="2835"/>
      </w:tblGrid>
      <w:tr w:rsidR="008370E0" w:rsidRPr="00993EBF" w:rsidTr="00641F29">
        <w:trPr>
          <w:cantSplit/>
          <w:trHeight w:hRule="exact" w:val="1134"/>
        </w:trPr>
        <w:tc>
          <w:tcPr>
            <w:tcW w:w="1242" w:type="dxa"/>
            <w:vAlign w:val="bottom"/>
          </w:tcPr>
          <w:p w:rsidR="008370E0" w:rsidRPr="00993EBF" w:rsidRDefault="00EC121C" w:rsidP="00641F29">
            <w:bookmarkStart w:id="0" w:name="_GoBack"/>
            <w:bookmarkEnd w:id="0"/>
            <w:r w:rsidRPr="00993EBF">
              <w:rPr>
                <w:noProof/>
                <w:lang w:val="en-US" w:eastAsia="en-US"/>
              </w:rPr>
              <w:drawing>
                <wp:inline distT="0" distB="0" distL="0" distR="0">
                  <wp:extent cx="710565" cy="590550"/>
                  <wp:effectExtent l="0" t="0" r="0" b="0"/>
                  <wp:docPr id="1" name="Picture 1" descr="Description: 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565" cy="590550"/>
                          </a:xfrm>
                          <a:prstGeom prst="rect">
                            <a:avLst/>
                          </a:prstGeom>
                          <a:noFill/>
                          <a:ln>
                            <a:noFill/>
                          </a:ln>
                        </pic:spPr>
                      </pic:pic>
                    </a:graphicData>
                  </a:graphic>
                </wp:inline>
              </w:drawing>
            </w:r>
          </w:p>
        </w:tc>
        <w:tc>
          <w:tcPr>
            <w:tcW w:w="2552" w:type="dxa"/>
            <w:vAlign w:val="bottom"/>
          </w:tcPr>
          <w:p w:rsidR="008370E0" w:rsidRPr="00993EBF" w:rsidRDefault="008370E0" w:rsidP="00641F29">
            <w:pPr>
              <w:spacing w:after="80" w:line="300" w:lineRule="exact"/>
              <w:ind w:left="323"/>
              <w:rPr>
                <w:b/>
                <w:sz w:val="24"/>
                <w:szCs w:val="24"/>
              </w:rPr>
            </w:pPr>
            <w:r w:rsidRPr="00993EBF">
              <w:rPr>
                <w:sz w:val="28"/>
                <w:szCs w:val="28"/>
              </w:rPr>
              <w:t>United Nations</w:t>
            </w:r>
          </w:p>
        </w:tc>
        <w:tc>
          <w:tcPr>
            <w:tcW w:w="5845" w:type="dxa"/>
            <w:gridSpan w:val="3"/>
            <w:vAlign w:val="bottom"/>
          </w:tcPr>
          <w:p w:rsidR="008370E0" w:rsidRPr="00993EBF" w:rsidRDefault="004D4EBB" w:rsidP="00A835A7">
            <w:pPr>
              <w:jc w:val="right"/>
              <w:rPr>
                <w:sz w:val="40"/>
              </w:rPr>
            </w:pPr>
            <w:r w:rsidRPr="00993EBF">
              <w:rPr>
                <w:sz w:val="40"/>
              </w:rPr>
              <w:t>FCCC</w:t>
            </w:r>
            <w:r w:rsidRPr="00993EBF">
              <w:t>/TAR/201</w:t>
            </w:r>
            <w:r w:rsidR="00B30FDB">
              <w:t>6</w:t>
            </w:r>
            <w:r w:rsidRPr="00993EBF">
              <w:t>/</w:t>
            </w:r>
            <w:r w:rsidR="00A835A7">
              <w:t>ETH</w:t>
            </w:r>
          </w:p>
        </w:tc>
      </w:tr>
      <w:tr w:rsidR="008370E0" w:rsidRPr="00993EBF" w:rsidTr="00641F29">
        <w:trPr>
          <w:cantSplit/>
          <w:trHeight w:hRule="exact" w:val="2552"/>
        </w:trPr>
        <w:tc>
          <w:tcPr>
            <w:tcW w:w="4511" w:type="dxa"/>
            <w:gridSpan w:val="3"/>
          </w:tcPr>
          <w:p w:rsidR="008370E0" w:rsidRPr="00993EBF" w:rsidRDefault="00EC121C" w:rsidP="00D87C8B">
            <w:r w:rsidRPr="00993EBF">
              <w:rPr>
                <w:noProof/>
                <w:lang w:val="en-US" w:eastAsia="en-US"/>
              </w:rPr>
              <w:drawing>
                <wp:inline distT="0" distB="0" distL="0" distR="0">
                  <wp:extent cx="2398395" cy="5626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8395" cy="562610"/>
                          </a:xfrm>
                          <a:prstGeom prst="rect">
                            <a:avLst/>
                          </a:prstGeom>
                          <a:noFill/>
                          <a:ln>
                            <a:noFill/>
                          </a:ln>
                        </pic:spPr>
                      </pic:pic>
                    </a:graphicData>
                  </a:graphic>
                </wp:inline>
              </w:drawing>
            </w:r>
          </w:p>
          <w:p w:rsidR="00A9402E" w:rsidRPr="00993EBF" w:rsidRDefault="00EC121C" w:rsidP="00D87C8B">
            <w:r w:rsidRPr="00993EBF">
              <w:rPr>
                <w:noProof/>
                <w:lang w:val="en-US" w:eastAsia="en-US"/>
              </w:rPr>
              <w:drawing>
                <wp:inline distT="0" distB="0" distL="0" distR="0">
                  <wp:extent cx="2722245" cy="6400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2245" cy="640080"/>
                          </a:xfrm>
                          <a:prstGeom prst="rect">
                            <a:avLst/>
                          </a:prstGeom>
                          <a:noFill/>
                          <a:ln>
                            <a:noFill/>
                          </a:ln>
                        </pic:spPr>
                      </pic:pic>
                    </a:graphicData>
                  </a:graphic>
                </wp:inline>
              </w:drawing>
            </w:r>
          </w:p>
        </w:tc>
        <w:tc>
          <w:tcPr>
            <w:tcW w:w="2293" w:type="dxa"/>
          </w:tcPr>
          <w:p w:rsidR="008370E0" w:rsidRPr="00993EBF" w:rsidRDefault="008370E0" w:rsidP="00641F29">
            <w:pPr>
              <w:spacing w:before="100" w:beforeAutospacing="1" w:after="100" w:afterAutospacing="1" w:line="300" w:lineRule="exact"/>
              <w:ind w:left="142"/>
              <w:contextualSpacing/>
              <w:rPr>
                <w:rFonts w:ascii="Kozuka Gothic Pro L" w:eastAsia="Kozuka Gothic Pro L" w:hAnsi="Kozuka Gothic Pro L" w:cs="Calibri"/>
                <w:sz w:val="28"/>
                <w:szCs w:val="28"/>
              </w:rPr>
            </w:pPr>
          </w:p>
        </w:tc>
        <w:tc>
          <w:tcPr>
            <w:tcW w:w="2835" w:type="dxa"/>
          </w:tcPr>
          <w:p w:rsidR="008370E0" w:rsidRPr="00993EBF" w:rsidRDefault="00EC121C" w:rsidP="00B45CED">
            <w:pPr>
              <w:spacing w:before="240" w:line="240" w:lineRule="exact"/>
            </w:pPr>
            <w:r w:rsidRPr="00993EBF">
              <w:t xml:space="preserve">Distr.: </w:t>
            </w:r>
            <w:r w:rsidR="00C62445" w:rsidRPr="00993EBF">
              <w:t>General</w:t>
            </w:r>
          </w:p>
          <w:p w:rsidR="003762BA" w:rsidRDefault="003762BA" w:rsidP="00B45CED">
            <w:pPr>
              <w:keepNext/>
              <w:keepLines/>
              <w:tabs>
                <w:tab w:val="right" w:pos="851"/>
              </w:tabs>
              <w:spacing w:line="240" w:lineRule="auto"/>
              <w:ind w:right="919"/>
            </w:pPr>
          </w:p>
          <w:p w:rsidR="00D52456" w:rsidRDefault="00E7571B" w:rsidP="00B45CED">
            <w:pPr>
              <w:keepNext/>
              <w:keepLines/>
              <w:tabs>
                <w:tab w:val="right" w:pos="851"/>
              </w:tabs>
              <w:spacing w:line="240" w:lineRule="auto"/>
              <w:ind w:right="919"/>
            </w:pPr>
            <w:r>
              <w:t>29 July</w:t>
            </w:r>
            <w:r w:rsidR="00EC121C" w:rsidRPr="00993EBF">
              <w:t xml:space="preserve"> 201</w:t>
            </w:r>
            <w:r w:rsidR="00B30FDB">
              <w:t>6</w:t>
            </w:r>
          </w:p>
          <w:p w:rsidR="00EC121C" w:rsidRPr="00993EBF" w:rsidRDefault="00EC121C" w:rsidP="00D52456">
            <w:pPr>
              <w:keepNext/>
              <w:keepLines/>
              <w:tabs>
                <w:tab w:val="right" w:pos="851"/>
              </w:tabs>
              <w:spacing w:before="360" w:after="240" w:line="240" w:lineRule="exact"/>
              <w:ind w:right="918"/>
            </w:pPr>
            <w:r w:rsidRPr="00993EBF">
              <w:t>English</w:t>
            </w:r>
            <w:r w:rsidR="00087409">
              <w:t xml:space="preserve"> only</w:t>
            </w:r>
          </w:p>
        </w:tc>
      </w:tr>
    </w:tbl>
    <w:p w:rsidR="002779EB" w:rsidRPr="00993EBF" w:rsidRDefault="00EC121C" w:rsidP="00CD41F3">
      <w:r w:rsidRPr="00993EBF">
        <w:rPr>
          <w:noProof/>
          <w:lang w:val="en-US" w:eastAsia="en-US"/>
        </w:rPr>
        <w:drawing>
          <wp:anchor distT="0" distB="0" distL="114300" distR="114300" simplePos="0" relativeHeight="251657728" behindDoc="0" locked="1" layoutInCell="1" allowOverlap="1">
            <wp:simplePos x="0" y="0"/>
            <wp:positionH relativeFrom="column">
              <wp:posOffset>5144770</wp:posOffset>
            </wp:positionH>
            <wp:positionV relativeFrom="page">
              <wp:posOffset>9422130</wp:posOffset>
            </wp:positionV>
            <wp:extent cx="929005" cy="230505"/>
            <wp:effectExtent l="0" t="0" r="4445" b="0"/>
            <wp:wrapNone/>
            <wp:docPr id="4" name="Picture 2" descr="Description: 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recycle_Engl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005" cy="230505"/>
                    </a:xfrm>
                    <a:prstGeom prst="rect">
                      <a:avLst/>
                    </a:prstGeom>
                    <a:noFill/>
                  </pic:spPr>
                </pic:pic>
              </a:graphicData>
            </a:graphic>
          </wp:anchor>
        </w:drawing>
      </w:r>
    </w:p>
    <w:p w:rsidR="00E75D67" w:rsidRPr="00993EBF" w:rsidRDefault="00EC121C" w:rsidP="00EC121C">
      <w:pPr>
        <w:pStyle w:val="HChG"/>
      </w:pPr>
      <w:r w:rsidRPr="00993EBF">
        <w:tab/>
      </w:r>
      <w:r w:rsidRPr="00993EBF">
        <w:tab/>
      </w:r>
      <w:r w:rsidR="00087409">
        <w:t>Report on</w:t>
      </w:r>
      <w:r w:rsidR="001A34FE" w:rsidRPr="00993EBF">
        <w:t xml:space="preserve"> the technical assessment of the proposed forest reference emission level of </w:t>
      </w:r>
      <w:proofErr w:type="spellStart"/>
      <w:r w:rsidR="00B11D12">
        <w:t>Ethiopia</w:t>
      </w:r>
      <w:r w:rsidR="00745FB5" w:rsidRPr="00993EBF">
        <w:t>submitted</w:t>
      </w:r>
      <w:proofErr w:type="spellEnd"/>
      <w:r w:rsidR="00745FB5" w:rsidRPr="00993EBF">
        <w:t xml:space="preserve"> in 201</w:t>
      </w:r>
      <w:r w:rsidR="00B30FDB">
        <w:t>6</w:t>
      </w:r>
    </w:p>
    <w:tbl>
      <w:tblPr>
        <w:tblStyle w:val="TableGrid"/>
        <w:tblW w:w="0" w:type="auto"/>
        <w:jc w:val="center"/>
        <w:tblBorders>
          <w:insideH w:val="none" w:sz="0" w:space="0" w:color="auto"/>
        </w:tblBorders>
        <w:tblCellMar>
          <w:left w:w="0" w:type="dxa"/>
          <w:right w:w="0" w:type="dxa"/>
        </w:tblCellMar>
        <w:tblLook w:val="04A0" w:firstRow="1" w:lastRow="0" w:firstColumn="1" w:lastColumn="0" w:noHBand="0" w:noVBand="1"/>
      </w:tblPr>
      <w:tblGrid>
        <w:gridCol w:w="9637"/>
      </w:tblGrid>
      <w:tr w:rsidR="00EC121C" w:rsidRPr="00993EBF" w:rsidTr="00EC121C">
        <w:trPr>
          <w:jc w:val="center"/>
        </w:trPr>
        <w:tc>
          <w:tcPr>
            <w:tcW w:w="9637" w:type="dxa"/>
            <w:shd w:val="clear" w:color="auto" w:fill="auto"/>
          </w:tcPr>
          <w:p w:rsidR="00EC121C" w:rsidRPr="00993EBF" w:rsidRDefault="00EC121C" w:rsidP="00EC121C">
            <w:pPr>
              <w:spacing w:before="240" w:after="120"/>
              <w:ind w:left="255"/>
              <w:rPr>
                <w:i/>
                <w:sz w:val="24"/>
              </w:rPr>
            </w:pPr>
            <w:r w:rsidRPr="00993EBF">
              <w:rPr>
                <w:i/>
                <w:sz w:val="24"/>
              </w:rPr>
              <w:t>Summary</w:t>
            </w:r>
          </w:p>
        </w:tc>
      </w:tr>
      <w:tr w:rsidR="00EC121C" w:rsidRPr="00993EBF" w:rsidTr="00EC121C">
        <w:trPr>
          <w:jc w:val="center"/>
        </w:trPr>
        <w:tc>
          <w:tcPr>
            <w:tcW w:w="9637" w:type="dxa"/>
            <w:shd w:val="clear" w:color="auto" w:fill="auto"/>
          </w:tcPr>
          <w:p w:rsidR="00EC121C" w:rsidRPr="00993EBF" w:rsidRDefault="00EC121C" w:rsidP="00C73B9B">
            <w:pPr>
              <w:pStyle w:val="SingleTxtG"/>
              <w:ind w:firstLine="567"/>
            </w:pPr>
            <w:r w:rsidRPr="00C73B9B">
              <w:t>This report covers the technical assessment of the submission of</w:t>
            </w:r>
            <w:r w:rsidR="00B11D12" w:rsidRPr="00C73B9B">
              <w:t xml:space="preserve"> Ethiopia</w:t>
            </w:r>
            <w:r w:rsidRPr="00C73B9B">
              <w:t xml:space="preserve">, on a voluntary basis, on its proposed </w:t>
            </w:r>
            <w:r w:rsidR="00E95021" w:rsidRPr="00C73B9B">
              <w:t xml:space="preserve">forest reference emission level (FREL) and </w:t>
            </w:r>
            <w:r w:rsidR="00D2654A" w:rsidRPr="00C73B9B">
              <w:t>forest reference level (FRL)</w:t>
            </w:r>
            <w:r w:rsidRPr="00C73B9B">
              <w:t xml:space="preserve">, in accordance with decision 13/CP.19 and in the context of results-based payments. The </w:t>
            </w:r>
            <w:r w:rsidR="00E95021" w:rsidRPr="00C73B9B">
              <w:t>FREL</w:t>
            </w:r>
            <w:r w:rsidR="00C73B9B" w:rsidRPr="00C73B9B">
              <w:t>/</w:t>
            </w:r>
            <w:proofErr w:type="spellStart"/>
            <w:r w:rsidR="00C73B9B" w:rsidRPr="00C73B9B">
              <w:t>FRL</w:t>
            </w:r>
            <w:r w:rsidRPr="00C73B9B">
              <w:t>proposed</w:t>
            </w:r>
            <w:proofErr w:type="spellEnd"/>
            <w:r w:rsidRPr="00C73B9B">
              <w:t xml:space="preserve"> by </w:t>
            </w:r>
            <w:r w:rsidR="00B11D12" w:rsidRPr="00C73B9B">
              <w:t>Ethiopia</w:t>
            </w:r>
            <w:r w:rsidRPr="00C73B9B">
              <w:t xml:space="preserve"> covers the </w:t>
            </w:r>
            <w:r w:rsidR="00B11D12" w:rsidRPr="00C73B9B">
              <w:t>activit</w:t>
            </w:r>
            <w:r w:rsidR="00C73B9B" w:rsidRPr="00C73B9B">
              <w:t>ies</w:t>
            </w:r>
            <w:r w:rsidRPr="00C73B9B">
              <w:t xml:space="preserve"> “reducing emissions from deforestation”</w:t>
            </w:r>
            <w:r w:rsidR="00C73B9B" w:rsidRPr="00C73B9B">
              <w:t xml:space="preserve"> and “enhancement of forest carbon stocks”</w:t>
            </w:r>
            <w:r w:rsidRPr="00C73B9B">
              <w:t xml:space="preserve">, which </w:t>
            </w:r>
            <w:r w:rsidR="00C73B9B" w:rsidRPr="00C73B9B">
              <w:t xml:space="preserve">are </w:t>
            </w:r>
            <w:r w:rsidR="00B30FDB" w:rsidRPr="00C73B9B">
              <w:t>among</w:t>
            </w:r>
            <w:r w:rsidRPr="00C73B9B">
              <w:t xml:space="preserve"> the activities included in decision 1/CP.16, paragraph 70. In its submission, </w:t>
            </w:r>
            <w:r w:rsidR="00B11D12" w:rsidRPr="00C73B9B">
              <w:t xml:space="preserve">Ethiopia has developed a </w:t>
            </w:r>
            <w:r w:rsidR="00D2654A" w:rsidRPr="00C73B9B">
              <w:t>national</w:t>
            </w:r>
            <w:r w:rsidR="00B11D12" w:rsidRPr="00C73B9B">
              <w:t xml:space="preserve"> FR</w:t>
            </w:r>
            <w:r w:rsidR="00E95021" w:rsidRPr="00C73B9B">
              <w:t>E</w:t>
            </w:r>
            <w:r w:rsidR="00B11D12" w:rsidRPr="00C73B9B">
              <w:t>L</w:t>
            </w:r>
            <w:r w:rsidR="00C73B9B" w:rsidRPr="00C73B9B">
              <w:t>/FRL</w:t>
            </w:r>
            <w:r w:rsidRPr="00C73B9B">
              <w:t xml:space="preserve">. The assessment team notes that the data and information used by </w:t>
            </w:r>
            <w:r w:rsidR="00970A3E" w:rsidRPr="00C73B9B">
              <w:t>Ethiopia</w:t>
            </w:r>
            <w:r w:rsidRPr="00C73B9B">
              <w:t xml:space="preserve"> in constructing its </w:t>
            </w:r>
            <w:r w:rsidR="00970A3E" w:rsidRPr="00C73B9B">
              <w:t>FR</w:t>
            </w:r>
            <w:r w:rsidR="00E95021" w:rsidRPr="00C73B9B">
              <w:t>E</w:t>
            </w:r>
            <w:r w:rsidR="00970A3E" w:rsidRPr="00C73B9B">
              <w:t>L</w:t>
            </w:r>
            <w:r w:rsidR="00C73B9B" w:rsidRPr="00C73B9B">
              <w:t>/</w:t>
            </w:r>
            <w:proofErr w:type="spellStart"/>
            <w:r w:rsidR="00C73B9B" w:rsidRPr="00C73B9B">
              <w:t>FRL</w:t>
            </w:r>
            <w:r w:rsidR="00682CBC" w:rsidRPr="00C73B9B">
              <w:t>are</w:t>
            </w:r>
            <w:proofErr w:type="spellEnd"/>
            <w:r w:rsidR="00682CBC" w:rsidRPr="00C73B9B">
              <w:t xml:space="preserve"> </w:t>
            </w:r>
            <w:r w:rsidR="00E0270B">
              <w:t xml:space="preserve">mostly </w:t>
            </w:r>
            <w:r w:rsidRPr="00C73B9B">
              <w:t>transparent and complete</w:t>
            </w:r>
            <w:r w:rsidR="00682CBC" w:rsidRPr="00C73B9B">
              <w:t>,</w:t>
            </w:r>
            <w:r w:rsidRPr="00C73B9B">
              <w:t xml:space="preserve"> and</w:t>
            </w:r>
            <w:r w:rsidR="00011783" w:rsidRPr="00C73B9B">
              <w:t xml:space="preserve"> are in</w:t>
            </w:r>
            <w:r w:rsidRPr="00C73B9B">
              <w:t xml:space="preserve"> overall accordance with the guidelines contained in the annex to decision 12/CP.17. This report contains the assessed </w:t>
            </w:r>
            <w:r w:rsidR="00970A3E" w:rsidRPr="00C73B9B">
              <w:t>FR</w:t>
            </w:r>
            <w:r w:rsidR="00E95021" w:rsidRPr="00C73B9B">
              <w:t>E</w:t>
            </w:r>
            <w:r w:rsidR="00970A3E" w:rsidRPr="00C73B9B">
              <w:t>L</w:t>
            </w:r>
            <w:r w:rsidR="00C73B9B" w:rsidRPr="00C73B9B">
              <w:t>/</w:t>
            </w:r>
            <w:r w:rsidR="00E95021" w:rsidRPr="00C73B9B">
              <w:t xml:space="preserve">FRL </w:t>
            </w:r>
            <w:r w:rsidRPr="00C73B9B">
              <w:t xml:space="preserve">and a few areas identified by the assessment team for further technical improvement, according to the scope of the technical assessment in the annex </w:t>
            </w:r>
            <w:r w:rsidR="00E63F2F" w:rsidRPr="00C73B9B">
              <w:t xml:space="preserve">to </w:t>
            </w:r>
            <w:r w:rsidRPr="00C73B9B">
              <w:t>decision 13/CP.19.</w:t>
            </w:r>
          </w:p>
        </w:tc>
      </w:tr>
      <w:tr w:rsidR="00EC121C" w:rsidRPr="00993EBF" w:rsidTr="00EC121C">
        <w:trPr>
          <w:jc w:val="center"/>
        </w:trPr>
        <w:tc>
          <w:tcPr>
            <w:tcW w:w="9637" w:type="dxa"/>
            <w:shd w:val="clear" w:color="auto" w:fill="auto"/>
          </w:tcPr>
          <w:p w:rsidR="00EC121C" w:rsidRPr="00993EBF" w:rsidRDefault="00EC121C" w:rsidP="00EC121C"/>
        </w:tc>
      </w:tr>
    </w:tbl>
    <w:p w:rsidR="00EC121C" w:rsidRPr="00993EBF" w:rsidRDefault="00EC121C" w:rsidP="00EC121C"/>
    <w:p w:rsidR="00C72279" w:rsidRPr="00993EBF" w:rsidRDefault="00EC121C" w:rsidP="0015132D">
      <w:pPr>
        <w:spacing w:after="120"/>
      </w:pPr>
      <w:r w:rsidRPr="00993EBF">
        <w:br w:type="page"/>
      </w:r>
    </w:p>
    <w:p w:rsidR="002D10F6" w:rsidRDefault="008414DE" w:rsidP="008414DE">
      <w:pPr>
        <w:spacing w:after="120"/>
        <w:rPr>
          <w:sz w:val="28"/>
        </w:rPr>
      </w:pPr>
      <w:r>
        <w:rPr>
          <w:sz w:val="28"/>
        </w:rPr>
        <w:lastRenderedPageBreak/>
        <w:t>Contents</w:t>
      </w:r>
    </w:p>
    <w:p w:rsidR="008414DE" w:rsidRDefault="008414DE" w:rsidP="008414DE">
      <w:pPr>
        <w:tabs>
          <w:tab w:val="right" w:pos="8929"/>
          <w:tab w:val="right" w:pos="9638"/>
        </w:tabs>
        <w:spacing w:after="120"/>
        <w:ind w:left="283"/>
      </w:pPr>
      <w:r>
        <w:rPr>
          <w:i/>
          <w:sz w:val="18"/>
        </w:rPr>
        <w:tab/>
        <w:t>Paragraphs</w:t>
      </w:r>
      <w:r>
        <w:rPr>
          <w:i/>
          <w:sz w:val="18"/>
        </w:rPr>
        <w:tab/>
        <w:t>Page</w:t>
      </w:r>
    </w:p>
    <w:p w:rsidR="00437F9C" w:rsidRPr="00890B7D" w:rsidRDefault="00437F9C" w:rsidP="00437F9C">
      <w:pPr>
        <w:pStyle w:val="TOC1"/>
        <w:rPr>
          <w:rFonts w:asciiTheme="minorHAnsi" w:eastAsiaTheme="minorEastAsia" w:hAnsiTheme="minorHAnsi" w:cstheme="minorBidi"/>
          <w:sz w:val="22"/>
          <w:szCs w:val="22"/>
          <w:lang w:eastAsia="en-US"/>
        </w:rPr>
      </w:pPr>
      <w:r>
        <w:tab/>
      </w:r>
      <w:r w:rsidR="00D17836" w:rsidRPr="004A2602">
        <w:fldChar w:fldCharType="begin"/>
      </w:r>
      <w:r w:rsidRPr="004A2602">
        <w:instrText xml:space="preserve"> TOC \o "1-9" \z \t "Anno _ H_CH_G,1,Anno_ H_1_G,2,Reg_H__Ch_G,1,Reg_H_1_G,2" </w:instrText>
      </w:r>
      <w:r w:rsidR="00D17836" w:rsidRPr="004A2602">
        <w:fldChar w:fldCharType="separate"/>
      </w:r>
      <w:r w:rsidRPr="00890B7D">
        <w:t>I.</w:t>
      </w:r>
      <w:r>
        <w:rPr>
          <w:rFonts w:asciiTheme="minorHAnsi" w:eastAsiaTheme="minorEastAsia" w:hAnsiTheme="minorHAnsi" w:cstheme="minorBidi"/>
          <w:sz w:val="22"/>
          <w:szCs w:val="22"/>
          <w:lang w:eastAsia="en-US"/>
        </w:rPr>
        <w:tab/>
      </w:r>
      <w:r w:rsidRPr="00890B7D">
        <w:t>Introduction and summary</w:t>
      </w:r>
      <w:r w:rsidRPr="00890B7D">
        <w:rPr>
          <w:webHidden/>
        </w:rPr>
        <w:tab/>
      </w:r>
      <w:r w:rsidRPr="00890B7D">
        <w:rPr>
          <w:webHidden/>
        </w:rPr>
        <w:tab/>
        <w:t>1–11</w:t>
      </w:r>
      <w:r w:rsidRPr="00890B7D">
        <w:rPr>
          <w:webHidden/>
        </w:rPr>
        <w:tab/>
      </w:r>
      <w:r>
        <w:rPr>
          <w:webHidden/>
        </w:rPr>
        <w:t>3</w:t>
      </w:r>
    </w:p>
    <w:p w:rsidR="00437F9C" w:rsidRPr="00890B7D" w:rsidRDefault="00437F9C" w:rsidP="00437F9C">
      <w:pPr>
        <w:pStyle w:val="TOC2"/>
        <w:rPr>
          <w:rFonts w:asciiTheme="minorHAnsi" w:eastAsiaTheme="minorEastAsia" w:hAnsiTheme="minorHAnsi" w:cstheme="minorBidi"/>
          <w:sz w:val="22"/>
          <w:szCs w:val="22"/>
          <w:lang w:eastAsia="en-US"/>
        </w:rPr>
      </w:pPr>
      <w:r w:rsidRPr="00890B7D">
        <w:tab/>
      </w:r>
      <w:r w:rsidRPr="00890B7D">
        <w:tab/>
        <w:t>A.</w:t>
      </w:r>
      <w:r w:rsidRPr="00890B7D">
        <w:rPr>
          <w:rFonts w:asciiTheme="minorHAnsi" w:eastAsiaTheme="minorEastAsia" w:hAnsiTheme="minorHAnsi" w:cstheme="minorBidi"/>
          <w:sz w:val="22"/>
          <w:szCs w:val="22"/>
          <w:lang w:eastAsia="en-US"/>
        </w:rPr>
        <w:tab/>
      </w:r>
      <w:r w:rsidRPr="00890B7D">
        <w:t>Overview</w:t>
      </w:r>
      <w:r w:rsidRPr="00890B7D">
        <w:rPr>
          <w:webHidden/>
        </w:rPr>
        <w:tab/>
      </w:r>
      <w:r w:rsidRPr="00890B7D">
        <w:rPr>
          <w:webHidden/>
        </w:rPr>
        <w:tab/>
        <w:t>1</w:t>
      </w:r>
      <w:r>
        <w:rPr>
          <w:webHidden/>
        </w:rPr>
        <w:t>–</w:t>
      </w:r>
      <w:r w:rsidRPr="00890B7D">
        <w:rPr>
          <w:webHidden/>
        </w:rPr>
        <w:t>6</w:t>
      </w:r>
      <w:r w:rsidRPr="00890B7D">
        <w:rPr>
          <w:webHidden/>
        </w:rPr>
        <w:tab/>
      </w:r>
      <w:r>
        <w:rPr>
          <w:webHidden/>
        </w:rPr>
        <w:t>3</w:t>
      </w:r>
    </w:p>
    <w:p w:rsidR="00437F9C" w:rsidRPr="00890B7D" w:rsidRDefault="00437F9C" w:rsidP="00437F9C">
      <w:pPr>
        <w:pStyle w:val="TOC2"/>
        <w:rPr>
          <w:rFonts w:asciiTheme="minorHAnsi" w:eastAsiaTheme="minorEastAsia" w:hAnsiTheme="minorHAnsi" w:cstheme="minorBidi"/>
          <w:sz w:val="22"/>
          <w:szCs w:val="22"/>
          <w:lang w:eastAsia="en-US"/>
        </w:rPr>
      </w:pPr>
      <w:r w:rsidRPr="00890B7D">
        <w:tab/>
      </w:r>
      <w:r w:rsidRPr="00890B7D">
        <w:tab/>
        <w:t>B.</w:t>
      </w:r>
      <w:r w:rsidRPr="00890B7D">
        <w:rPr>
          <w:rFonts w:asciiTheme="minorHAnsi" w:eastAsiaTheme="minorEastAsia" w:hAnsiTheme="minorHAnsi" w:cstheme="minorBidi"/>
          <w:sz w:val="22"/>
          <w:szCs w:val="22"/>
          <w:lang w:eastAsia="en-US"/>
        </w:rPr>
        <w:tab/>
      </w:r>
      <w:r w:rsidRPr="00890B7D">
        <w:t>Proposed forest reference emission level</w:t>
      </w:r>
      <w:r w:rsidRPr="00890B7D">
        <w:rPr>
          <w:webHidden/>
        </w:rPr>
        <w:tab/>
      </w:r>
      <w:r w:rsidRPr="00890B7D">
        <w:rPr>
          <w:webHidden/>
        </w:rPr>
        <w:tab/>
        <w:t>7–11</w:t>
      </w:r>
      <w:r w:rsidRPr="00890B7D">
        <w:rPr>
          <w:webHidden/>
        </w:rPr>
        <w:tab/>
      </w:r>
      <w:r>
        <w:rPr>
          <w:webHidden/>
        </w:rPr>
        <w:t>4</w:t>
      </w:r>
    </w:p>
    <w:p w:rsidR="00437F9C" w:rsidRPr="00890B7D" w:rsidRDefault="00437F9C" w:rsidP="00437F9C">
      <w:pPr>
        <w:pStyle w:val="TOC1"/>
        <w:ind w:left="1128" w:hanging="1128"/>
        <w:rPr>
          <w:webHidden/>
        </w:rPr>
      </w:pPr>
      <w:r w:rsidRPr="00890B7D">
        <w:tab/>
        <w:t>II.</w:t>
      </w:r>
      <w:r w:rsidRPr="00890B7D">
        <w:rPr>
          <w:rFonts w:asciiTheme="minorHAnsi" w:eastAsiaTheme="minorEastAsia" w:hAnsiTheme="minorHAnsi" w:cstheme="minorBidi"/>
          <w:sz w:val="22"/>
          <w:szCs w:val="22"/>
          <w:lang w:eastAsia="en-US"/>
        </w:rPr>
        <w:tab/>
      </w:r>
      <w:r w:rsidRPr="00890B7D">
        <w:t xml:space="preserve">Data, methodologies and procedures used in the construction of the proposed </w:t>
      </w:r>
      <w:r w:rsidRPr="00890B7D">
        <w:br/>
        <w:t>forest reference emission level</w:t>
      </w:r>
      <w:r w:rsidRPr="00890B7D">
        <w:rPr>
          <w:webHidden/>
        </w:rPr>
        <w:tab/>
      </w:r>
      <w:r w:rsidRPr="00890B7D">
        <w:rPr>
          <w:webHidden/>
        </w:rPr>
        <w:tab/>
        <w:t>12–</w:t>
      </w:r>
      <w:r>
        <w:rPr>
          <w:webHidden/>
        </w:rPr>
        <w:t>37</w:t>
      </w:r>
      <w:r w:rsidRPr="00890B7D">
        <w:rPr>
          <w:webHidden/>
        </w:rPr>
        <w:tab/>
      </w:r>
      <w:r>
        <w:rPr>
          <w:webHidden/>
        </w:rPr>
        <w:t>5</w:t>
      </w:r>
    </w:p>
    <w:p w:rsidR="00437F9C" w:rsidRPr="004A2602" w:rsidRDefault="00437F9C" w:rsidP="00437F9C">
      <w:pPr>
        <w:pStyle w:val="TOC1"/>
        <w:ind w:left="1560" w:hanging="1128"/>
        <w:rPr>
          <w:rFonts w:asciiTheme="minorHAnsi" w:eastAsiaTheme="minorEastAsia" w:hAnsiTheme="minorHAnsi" w:cstheme="minorBidi"/>
          <w:sz w:val="22"/>
          <w:szCs w:val="22"/>
          <w:lang w:eastAsia="en-US"/>
        </w:rPr>
      </w:pPr>
      <w:r w:rsidRPr="004A2602">
        <w:tab/>
      </w:r>
      <w:r w:rsidRPr="004A2602">
        <w:tab/>
      </w:r>
      <w:r w:rsidRPr="004A2602">
        <w:tab/>
        <w:t>How each element in the annex to decision 12/CP.17 was taken into account in</w:t>
      </w:r>
      <w:r w:rsidRPr="00E253B8">
        <w:br/>
      </w:r>
      <w:r w:rsidRPr="004A2602">
        <w:t>the construction of the forest reference emission level</w:t>
      </w:r>
      <w:r w:rsidRPr="004A2602">
        <w:rPr>
          <w:webHidden/>
        </w:rPr>
        <w:tab/>
      </w:r>
      <w:r w:rsidRPr="004A2602">
        <w:rPr>
          <w:webHidden/>
        </w:rPr>
        <w:tab/>
        <w:t>12–</w:t>
      </w:r>
      <w:r>
        <w:rPr>
          <w:webHidden/>
        </w:rPr>
        <w:t>37</w:t>
      </w:r>
      <w:r w:rsidRPr="004A2602">
        <w:rPr>
          <w:webHidden/>
        </w:rPr>
        <w:tab/>
      </w:r>
      <w:r>
        <w:rPr>
          <w:webHidden/>
        </w:rPr>
        <w:t>5</w:t>
      </w:r>
    </w:p>
    <w:p w:rsidR="00437F9C" w:rsidRPr="00890B7D" w:rsidRDefault="00437F9C" w:rsidP="00437F9C">
      <w:pPr>
        <w:pStyle w:val="TOC1"/>
        <w:rPr>
          <w:rFonts w:asciiTheme="minorHAnsi" w:eastAsiaTheme="minorEastAsia" w:hAnsiTheme="minorHAnsi" w:cstheme="minorBidi"/>
          <w:sz w:val="22"/>
          <w:szCs w:val="22"/>
          <w:lang w:eastAsia="en-US"/>
        </w:rPr>
      </w:pPr>
      <w:r w:rsidRPr="00890B7D">
        <w:tab/>
        <w:t>III.</w:t>
      </w:r>
      <w:r w:rsidRPr="00890B7D">
        <w:rPr>
          <w:rFonts w:asciiTheme="minorHAnsi" w:eastAsiaTheme="minorEastAsia" w:hAnsiTheme="minorHAnsi" w:cstheme="minorBidi"/>
          <w:sz w:val="22"/>
          <w:szCs w:val="22"/>
          <w:lang w:eastAsia="en-US"/>
        </w:rPr>
        <w:tab/>
      </w:r>
      <w:r w:rsidRPr="00890B7D">
        <w:t>Conclusions</w:t>
      </w:r>
      <w:r w:rsidRPr="00890B7D">
        <w:rPr>
          <w:webHidden/>
        </w:rPr>
        <w:tab/>
      </w:r>
      <w:r w:rsidRPr="00890B7D">
        <w:rPr>
          <w:webHidden/>
        </w:rPr>
        <w:tab/>
      </w:r>
      <w:r>
        <w:rPr>
          <w:webHidden/>
        </w:rPr>
        <w:t>38</w:t>
      </w:r>
      <w:r w:rsidRPr="004A2602">
        <w:rPr>
          <w:webHidden/>
        </w:rPr>
        <w:t>–</w:t>
      </w:r>
      <w:r>
        <w:rPr>
          <w:webHidden/>
        </w:rPr>
        <w:t>44</w:t>
      </w:r>
      <w:r w:rsidRPr="00890B7D">
        <w:rPr>
          <w:webHidden/>
        </w:rPr>
        <w:tab/>
      </w:r>
      <w:r>
        <w:rPr>
          <w:webHidden/>
        </w:rPr>
        <w:t>11</w:t>
      </w:r>
    </w:p>
    <w:p w:rsidR="00437F9C" w:rsidRPr="00FB2849" w:rsidRDefault="00D17836" w:rsidP="00437F9C">
      <w:pPr>
        <w:tabs>
          <w:tab w:val="right" w:pos="850"/>
          <w:tab w:val="left" w:pos="1134"/>
          <w:tab w:val="left" w:pos="1559"/>
          <w:tab w:val="left" w:pos="1984"/>
          <w:tab w:val="left" w:leader="dot" w:pos="7654"/>
          <w:tab w:val="right" w:pos="8929"/>
          <w:tab w:val="right" w:pos="9638"/>
        </w:tabs>
        <w:spacing w:after="120"/>
      </w:pPr>
      <w:r w:rsidRPr="004A2602">
        <w:fldChar w:fldCharType="end"/>
      </w:r>
      <w:r w:rsidR="00437F9C" w:rsidRPr="00FB2849">
        <w:t>Annex</w:t>
      </w:r>
    </w:p>
    <w:p w:rsidR="00437F9C" w:rsidRPr="008C2202" w:rsidRDefault="00437F9C" w:rsidP="00437F9C">
      <w:pPr>
        <w:tabs>
          <w:tab w:val="right" w:pos="850"/>
          <w:tab w:val="left" w:pos="1134"/>
          <w:tab w:val="left" w:pos="1559"/>
          <w:tab w:val="left" w:pos="1984"/>
          <w:tab w:val="center" w:leader="dot" w:pos="8929"/>
          <w:tab w:val="right" w:pos="9638"/>
        </w:tabs>
        <w:spacing w:after="120"/>
        <w:ind w:left="1134"/>
      </w:pPr>
      <w:r w:rsidRPr="00241527">
        <w:t xml:space="preserve">Summary of main features of the proposed forest reference emission level </w:t>
      </w:r>
      <w:r w:rsidRPr="008C2202">
        <w:t>based on</w:t>
      </w:r>
      <w:r w:rsidRPr="00E253B8">
        <w:br/>
      </w:r>
      <w:r w:rsidRPr="00241527">
        <w:t>information provided by the Party</w:t>
      </w:r>
      <w:r w:rsidRPr="00241527">
        <w:tab/>
      </w:r>
      <w:r w:rsidRPr="00241527">
        <w:tab/>
        <w:t>1</w:t>
      </w:r>
      <w:r w:rsidR="003E3118">
        <w:t>3</w:t>
      </w:r>
    </w:p>
    <w:p w:rsidR="008414DE" w:rsidRPr="008414DE" w:rsidRDefault="008414DE" w:rsidP="008414DE">
      <w:pPr>
        <w:spacing w:after="120"/>
        <w:ind w:left="283"/>
      </w:pPr>
    </w:p>
    <w:p w:rsidR="00555185" w:rsidRPr="00993EBF" w:rsidRDefault="00EC121C" w:rsidP="001442DF">
      <w:pPr>
        <w:pStyle w:val="RegHChG"/>
      </w:pPr>
      <w:r w:rsidRPr="00993EBF">
        <w:br w:type="page"/>
      </w:r>
      <w:bookmarkStart w:id="1" w:name="_Toc403571663"/>
      <w:bookmarkStart w:id="2" w:name="_Toc404864964"/>
      <w:bookmarkStart w:id="3" w:name="_Toc405125600"/>
      <w:r w:rsidRPr="00993EBF">
        <w:lastRenderedPageBreak/>
        <w:t xml:space="preserve">Introduction and </w:t>
      </w:r>
      <w:r w:rsidR="00FA37E1" w:rsidRPr="00993EBF">
        <w:t>s</w:t>
      </w:r>
      <w:r w:rsidRPr="00993EBF">
        <w:t>ummary</w:t>
      </w:r>
      <w:bookmarkEnd w:id="1"/>
      <w:bookmarkEnd w:id="2"/>
      <w:bookmarkEnd w:id="3"/>
    </w:p>
    <w:p w:rsidR="00EC121C" w:rsidRPr="00993EBF" w:rsidRDefault="00EC121C" w:rsidP="00EC121C">
      <w:pPr>
        <w:pStyle w:val="RegH1G"/>
      </w:pPr>
      <w:bookmarkStart w:id="4" w:name="_Toc403571664"/>
      <w:bookmarkStart w:id="5" w:name="_Toc404864965"/>
      <w:bookmarkStart w:id="6" w:name="_Toc405125601"/>
      <w:r w:rsidRPr="00993EBF">
        <w:t>Overview</w:t>
      </w:r>
      <w:bookmarkEnd w:id="4"/>
      <w:bookmarkEnd w:id="5"/>
      <w:bookmarkEnd w:id="6"/>
    </w:p>
    <w:p w:rsidR="00555185" w:rsidRPr="00993EBF" w:rsidRDefault="00EC121C" w:rsidP="00F4398C">
      <w:pPr>
        <w:pStyle w:val="AnnoSingleTxtG"/>
      </w:pPr>
      <w:r w:rsidRPr="00993EBF">
        <w:t xml:space="preserve">This report covers the technical assessment (TA) of the submission of </w:t>
      </w:r>
      <w:r w:rsidR="00970A3E">
        <w:t>Ethiopia</w:t>
      </w:r>
      <w:r w:rsidR="00087409">
        <w:t xml:space="preserve"> on</w:t>
      </w:r>
      <w:r w:rsidRPr="00993EBF">
        <w:t xml:space="preserve"> its </w:t>
      </w:r>
      <w:r w:rsidRPr="009B3BCE">
        <w:t xml:space="preserve">proposed </w:t>
      </w:r>
      <w:r w:rsidR="00551666" w:rsidRPr="009B3BCE">
        <w:t xml:space="preserve">forest reference </w:t>
      </w:r>
      <w:r w:rsidR="009B3BCE" w:rsidRPr="009B3BCE">
        <w:t xml:space="preserve">emission </w:t>
      </w:r>
      <w:r w:rsidR="00551666" w:rsidRPr="009B3BCE">
        <w:t>level (FR</w:t>
      </w:r>
      <w:r w:rsidR="009B3BCE" w:rsidRPr="009B3BCE">
        <w:t>E</w:t>
      </w:r>
      <w:r w:rsidR="00551666" w:rsidRPr="009B3BCE">
        <w:t>L)</w:t>
      </w:r>
      <w:r w:rsidR="009B3BCE" w:rsidRPr="009B3BCE">
        <w:t xml:space="preserve"> and for</w:t>
      </w:r>
      <w:r w:rsidR="009B3BCE">
        <w:t>est reference level (FRL)</w:t>
      </w:r>
      <w:r w:rsidRPr="00993EBF">
        <w:t>,</w:t>
      </w:r>
      <w:r w:rsidRPr="00993EBF">
        <w:rPr>
          <w:rStyle w:val="FootnoteReference"/>
          <w:sz w:val="20"/>
        </w:rPr>
        <w:footnoteReference w:id="1"/>
      </w:r>
      <w:r w:rsidRPr="00993EBF">
        <w:t xml:space="preserve"> submitted on </w:t>
      </w:r>
      <w:r w:rsidR="00844606">
        <w:t>4</w:t>
      </w:r>
      <w:r w:rsidR="009B3BCE">
        <w:t xml:space="preserve"> January 2016</w:t>
      </w:r>
      <w:r w:rsidRPr="00993EBF">
        <w:t xml:space="preserve"> in accordance with decisions 12/CP.17 and 13/CP.19. The TA took place (as a centralized activity) from </w:t>
      </w:r>
      <w:r w:rsidR="008B3C75">
        <w:t>17</w:t>
      </w:r>
      <w:r w:rsidRPr="00993EBF">
        <w:t xml:space="preserve"> to </w:t>
      </w:r>
      <w:r w:rsidR="008B3C75">
        <w:t>18 March 2016</w:t>
      </w:r>
      <w:r w:rsidRPr="00993EBF">
        <w:t xml:space="preserve"> in Bonn, Germany, and was coordinated by the UNFCCC </w:t>
      </w:r>
      <w:r w:rsidR="00A25F43" w:rsidRPr="00993EBF">
        <w:t>s</w:t>
      </w:r>
      <w:r w:rsidRPr="00993EBF">
        <w:t>ecretariat.</w:t>
      </w:r>
      <w:r w:rsidRPr="00993EBF">
        <w:rPr>
          <w:rStyle w:val="FootnoteReference"/>
        </w:rPr>
        <w:footnoteReference w:id="2"/>
      </w:r>
      <w:r w:rsidRPr="00993EBF">
        <w:t xml:space="preserve"> The TA was conducted by two land use, land</w:t>
      </w:r>
      <w:r w:rsidR="0002612D" w:rsidRPr="00993EBF">
        <w:t>-</w:t>
      </w:r>
      <w:r w:rsidRPr="00993EBF">
        <w:t xml:space="preserve">use change and </w:t>
      </w:r>
      <w:proofErr w:type="spellStart"/>
      <w:r w:rsidRPr="00993EBF">
        <w:t>forestryexperts</w:t>
      </w:r>
      <w:proofErr w:type="spellEnd"/>
      <w:r w:rsidRPr="00993EBF">
        <w:t xml:space="preserve"> from the UNFCCC roster of experts</w:t>
      </w:r>
      <w:r w:rsidRPr="00993EBF">
        <w:rPr>
          <w:rStyle w:val="FootnoteReference"/>
          <w:sz w:val="20"/>
        </w:rPr>
        <w:footnoteReference w:id="3"/>
      </w:r>
      <w:r w:rsidRPr="00993EBF">
        <w:t xml:space="preserve"> (</w:t>
      </w:r>
      <w:r w:rsidR="003A7144" w:rsidRPr="00993EBF">
        <w:t>hereinafter</w:t>
      </w:r>
      <w:r w:rsidRPr="00993EBF">
        <w:t xml:space="preserve"> referred to as the assessment team</w:t>
      </w:r>
      <w:r w:rsidR="00C564B9" w:rsidRPr="00993EBF">
        <w:t xml:space="preserve"> (AT)</w:t>
      </w:r>
      <w:r w:rsidRPr="00993EBF">
        <w:t xml:space="preserve">): </w:t>
      </w:r>
      <w:proofErr w:type="spellStart"/>
      <w:r w:rsidR="00970A3E">
        <w:t>Lucio</w:t>
      </w:r>
      <w:proofErr w:type="spellEnd"/>
      <w:r w:rsidR="00970A3E">
        <w:t xml:space="preserve"> Santos</w:t>
      </w:r>
      <w:r w:rsidR="00AB3C57">
        <w:t xml:space="preserve"> (</w:t>
      </w:r>
      <w:r w:rsidR="00970A3E">
        <w:t>Columbia</w:t>
      </w:r>
      <w:r w:rsidR="00AB3C57">
        <w:t>)</w:t>
      </w:r>
      <w:r w:rsidR="00970A3E">
        <w:t xml:space="preserve"> and Andrea Brandon</w:t>
      </w:r>
      <w:r w:rsidR="00AB3C57">
        <w:t xml:space="preserve"> (</w:t>
      </w:r>
      <w:r w:rsidR="00970A3E">
        <w:t>New Zealand</w:t>
      </w:r>
      <w:r w:rsidR="00AB3C57">
        <w:t>)</w:t>
      </w:r>
      <w:r w:rsidRPr="00993EBF">
        <w:t xml:space="preserve">. </w:t>
      </w:r>
      <w:r w:rsidR="008B3C75" w:rsidRPr="00993EBF">
        <w:t xml:space="preserve">In addition, </w:t>
      </w:r>
      <w:proofErr w:type="spellStart"/>
      <w:r w:rsidR="00AB3C57">
        <w:t>Mr.</w:t>
      </w:r>
      <w:proofErr w:type="spellEnd"/>
      <w:r w:rsidR="00AB3C57">
        <w:t xml:space="preserve"> </w:t>
      </w:r>
      <w:proofErr w:type="spellStart"/>
      <w:r w:rsidR="00AB3C57">
        <w:t>Kamel</w:t>
      </w:r>
      <w:proofErr w:type="spellEnd"/>
      <w:r w:rsidR="00AB3C57">
        <w:t xml:space="preserve"> </w:t>
      </w:r>
      <w:proofErr w:type="spellStart"/>
      <w:r w:rsidR="00AB3C57">
        <w:t>Djemouai</w:t>
      </w:r>
      <w:proofErr w:type="spellEnd"/>
      <w:r w:rsidR="00AB3C57">
        <w:t xml:space="preserve">, </w:t>
      </w:r>
      <w:r w:rsidR="008B3C75" w:rsidRPr="00993EBF">
        <w:t>an expert from the Consultative Group of Experts on National Communications from Parties not included in Annex I to the Convention, participated as an observer</w:t>
      </w:r>
      <w:r w:rsidR="008B3C75" w:rsidRPr="005B0FF8">
        <w:rPr>
          <w:rStyle w:val="FootnoteReference"/>
          <w:szCs w:val="18"/>
        </w:rPr>
        <w:footnoteReference w:id="4"/>
      </w:r>
      <w:r w:rsidR="008B3C75" w:rsidRPr="00993EBF">
        <w:t xml:space="preserve"> during the centralized activity in Bonn.</w:t>
      </w:r>
    </w:p>
    <w:p w:rsidR="00EC121C" w:rsidRPr="00C73B9B" w:rsidRDefault="00EC121C" w:rsidP="00F4398C">
      <w:pPr>
        <w:pStyle w:val="AnnoSingleTxtG"/>
      </w:pPr>
      <w:r w:rsidRPr="00C73B9B">
        <w:t>In response to the invitation by the Conference of the Parties (COP) and in accordance with the provisions of decision 12/CP.17, paragraphs 7</w:t>
      </w:r>
      <w:r w:rsidR="00865AD0" w:rsidRPr="00C73B9B">
        <w:t>–</w:t>
      </w:r>
      <w:r w:rsidRPr="00C73B9B">
        <w:t>15</w:t>
      </w:r>
      <w:r w:rsidR="000C62D8" w:rsidRPr="00C73B9B">
        <w:t>,</w:t>
      </w:r>
      <w:r w:rsidRPr="00C73B9B">
        <w:t xml:space="preserve"> and its annex, </w:t>
      </w:r>
      <w:r w:rsidR="00970A3E" w:rsidRPr="00C73B9B">
        <w:t xml:space="preserve">Ethiopia </w:t>
      </w:r>
      <w:r w:rsidRPr="00C73B9B">
        <w:t xml:space="preserve">submitted its proposed </w:t>
      </w:r>
      <w:r w:rsidR="009B3BCE" w:rsidRPr="00C73B9B">
        <w:t>FREL</w:t>
      </w:r>
      <w:r w:rsidR="00C73B9B" w:rsidRPr="00C73B9B">
        <w:t>/</w:t>
      </w:r>
      <w:r w:rsidR="00970A3E" w:rsidRPr="00C73B9B">
        <w:t>FRL</w:t>
      </w:r>
      <w:r w:rsidRPr="00C73B9B">
        <w:t xml:space="preserve"> on a voluntary basis. This proposed </w:t>
      </w:r>
      <w:r w:rsidR="00E95021" w:rsidRPr="00C73B9B">
        <w:t>FREL</w:t>
      </w:r>
      <w:r w:rsidR="00C73B9B" w:rsidRPr="00C73B9B">
        <w:t>/</w:t>
      </w:r>
      <w:r w:rsidR="00551666" w:rsidRPr="00C73B9B">
        <w:t>FRL</w:t>
      </w:r>
      <w:r w:rsidRPr="00C73B9B">
        <w:t xml:space="preserve"> is one of the elements</w:t>
      </w:r>
      <w:r w:rsidRPr="00C73B9B">
        <w:rPr>
          <w:rStyle w:val="FootnoteReference"/>
        </w:rPr>
        <w:footnoteReference w:id="5"/>
      </w:r>
      <w:r w:rsidRPr="00C73B9B">
        <w:t xml:space="preserve"> to be developed in the implementation of the activities referred to in decision 1/CP.16, paragraph 70. The COP decided that each submission of </w:t>
      </w:r>
      <w:proofErr w:type="spellStart"/>
      <w:r w:rsidR="00E815F7" w:rsidRPr="00C73B9B">
        <w:t>a</w:t>
      </w:r>
      <w:r w:rsidRPr="00C73B9B">
        <w:t>proposed</w:t>
      </w:r>
      <w:proofErr w:type="spellEnd"/>
      <w:r w:rsidRPr="00C73B9B">
        <w:t xml:space="preserve"> </w:t>
      </w:r>
      <w:r w:rsidR="00E95021" w:rsidRPr="00C73B9B">
        <w:t>FREL</w:t>
      </w:r>
      <w:r w:rsidR="00C73B9B" w:rsidRPr="00C73B9B">
        <w:t>/</w:t>
      </w:r>
      <w:r w:rsidR="00970A3E" w:rsidRPr="00C73B9B">
        <w:t>FRL</w:t>
      </w:r>
      <w:r w:rsidRPr="00C73B9B">
        <w:t xml:space="preserve">, as referred to in decision 12/CP.17, paragraph 13, shall be subject to a </w:t>
      </w:r>
      <w:r w:rsidR="00865AD0" w:rsidRPr="00C73B9B">
        <w:t>TA</w:t>
      </w:r>
      <w:r w:rsidRPr="00C73B9B">
        <w:t xml:space="preserve"> in the context of results-based payments, pursuant to decisions 13/CP.19, paragraphs 1 and 2, and 14/CP.19, paragraphs 7 and 8.</w:t>
      </w:r>
    </w:p>
    <w:p w:rsidR="00EC121C" w:rsidRPr="00C73B9B" w:rsidRDefault="00C73B9B" w:rsidP="00F4398C">
      <w:pPr>
        <w:pStyle w:val="AnnoSingleTxtG"/>
      </w:pPr>
      <w:r w:rsidRPr="00C73B9B">
        <w:t>In its submission, Ethiopia emphasized that the submitted FREL/FRL does not prejudge or modify any of Ethiopia’s Nationally Determined Contributions or Nationally Appropriate Mitigation Actions pursuant to the Bali Action Plan.</w:t>
      </w:r>
    </w:p>
    <w:p w:rsidR="00EC121C" w:rsidRPr="00C73B9B" w:rsidRDefault="00EC121C" w:rsidP="00F4398C">
      <w:pPr>
        <w:pStyle w:val="AnnoSingleTxtG"/>
        <w:rPr>
          <w:rStyle w:val="FootnoteReference"/>
          <w:sz w:val="20"/>
          <w:vertAlign w:val="baseline"/>
        </w:rPr>
      </w:pPr>
      <w:r w:rsidRPr="00C73B9B">
        <w:t xml:space="preserve">The objective of this </w:t>
      </w:r>
      <w:r w:rsidR="005F4057" w:rsidRPr="00C73B9B">
        <w:t>TA</w:t>
      </w:r>
      <w:r w:rsidRPr="00C73B9B">
        <w:t xml:space="preserve"> was to assess the degree to which information provided by </w:t>
      </w:r>
      <w:r w:rsidR="00E95021" w:rsidRPr="00C73B9B">
        <w:t>Ethiopia</w:t>
      </w:r>
      <w:r w:rsidRPr="00C73B9B">
        <w:t xml:space="preserve"> was in accordance with the guidelines for submissions of information on </w:t>
      </w:r>
      <w:r w:rsidR="00A25F43" w:rsidRPr="00C73B9B">
        <w:t>FRELs</w:t>
      </w:r>
      <w:r w:rsidR="008B3C75" w:rsidRPr="00C73B9B">
        <w:t>/FRLs</w:t>
      </w:r>
      <w:r w:rsidRPr="00C73B9B">
        <w:rPr>
          <w:rStyle w:val="FootnoteReference"/>
        </w:rPr>
        <w:footnoteReference w:id="6"/>
      </w:r>
      <w:r w:rsidRPr="00C73B9B">
        <w:t xml:space="preserve"> and to offer a facilitative, non-intrusive, technical exchange of information on the construction of the FREL</w:t>
      </w:r>
      <w:r w:rsidR="00C73B9B" w:rsidRPr="00C73B9B">
        <w:t>/</w:t>
      </w:r>
      <w:r w:rsidR="00E95021" w:rsidRPr="00C73B9B">
        <w:t>FRL</w:t>
      </w:r>
      <w:r w:rsidR="00F527DA" w:rsidRPr="00C73B9B">
        <w:t>,</w:t>
      </w:r>
      <w:r w:rsidRPr="00C73B9B">
        <w:t xml:space="preserve"> with a view to supporting the capacity of </w:t>
      </w:r>
      <w:r w:rsidR="00E95021" w:rsidRPr="00C73B9B">
        <w:t>Ethiopia</w:t>
      </w:r>
      <w:r w:rsidRPr="00C73B9B">
        <w:t xml:space="preserve"> for the construction and future improvement of FREL</w:t>
      </w:r>
      <w:r w:rsidR="00A25F43" w:rsidRPr="00C73B9B">
        <w:t>s</w:t>
      </w:r>
      <w:r w:rsidR="00C73B9B" w:rsidRPr="00C73B9B">
        <w:t>/FRLs</w:t>
      </w:r>
      <w:r w:rsidRPr="00C73B9B">
        <w:t>, as appropriate.</w:t>
      </w:r>
      <w:r w:rsidRPr="00C73B9B">
        <w:rPr>
          <w:rStyle w:val="FootnoteReference"/>
        </w:rPr>
        <w:footnoteReference w:id="7"/>
      </w:r>
    </w:p>
    <w:p w:rsidR="00EC121C" w:rsidRPr="00993EBF" w:rsidRDefault="00EC121C" w:rsidP="00F4398C">
      <w:pPr>
        <w:pStyle w:val="AnnoSingleTxtG"/>
      </w:pPr>
      <w:r w:rsidRPr="00993EBF">
        <w:t xml:space="preserve">The TA </w:t>
      </w:r>
      <w:r w:rsidRPr="00373F95">
        <w:t xml:space="preserve">of the </w:t>
      </w:r>
      <w:r w:rsidR="00E95021" w:rsidRPr="00373F95">
        <w:t xml:space="preserve">FREL/FRL </w:t>
      </w:r>
      <w:r w:rsidRPr="00373F95">
        <w:t>submitted</w:t>
      </w:r>
      <w:r w:rsidRPr="00993EBF">
        <w:t xml:space="preserve"> by </w:t>
      </w:r>
      <w:r w:rsidR="00E95021">
        <w:t>Ethiopia</w:t>
      </w:r>
      <w:r w:rsidRPr="00993EBF">
        <w:t xml:space="preserve"> was undertaken in accordance with the guidelines and procedures for the </w:t>
      </w:r>
      <w:r w:rsidR="00A25F43" w:rsidRPr="00993EBF">
        <w:t>TA</w:t>
      </w:r>
      <w:r w:rsidRPr="00993EBF">
        <w:t xml:space="preserve"> of submissions from Parties on proposed </w:t>
      </w:r>
      <w:r w:rsidR="00A25F43" w:rsidRPr="00993EBF">
        <w:t>FRELs</w:t>
      </w:r>
      <w:r w:rsidRPr="00993EBF">
        <w:t xml:space="preserve"> and/or </w:t>
      </w:r>
      <w:r w:rsidR="008B3C75">
        <w:t>FRLs</w:t>
      </w:r>
      <w:r w:rsidRPr="00993EBF">
        <w:t xml:space="preserve"> as contained in the annex to decision 13/CP.19. This report on the TA was prepared by the AT following the guidelines and procedures in the same decision.</w:t>
      </w:r>
    </w:p>
    <w:p w:rsidR="00EC121C" w:rsidRPr="00993EBF" w:rsidRDefault="00EC121C" w:rsidP="00F4398C">
      <w:pPr>
        <w:pStyle w:val="AnnoSingleTxtG"/>
      </w:pPr>
      <w:r w:rsidRPr="00993EBF">
        <w:t xml:space="preserve">Following the process contained in the guidelines and procedures </w:t>
      </w:r>
      <w:r w:rsidR="00A40E1E">
        <w:t>in the annex to decision 13/CP.19</w:t>
      </w:r>
      <w:r w:rsidRPr="00993EBF">
        <w:t xml:space="preserve">, a draft version of this report was communicated to the Government of </w:t>
      </w:r>
      <w:r w:rsidR="00E95021">
        <w:t>Ethiopia</w:t>
      </w:r>
      <w:r w:rsidRPr="00993EBF">
        <w:t xml:space="preserve">. The facilitative exchange during the </w:t>
      </w:r>
      <w:r w:rsidR="00F527DA" w:rsidRPr="00993EBF">
        <w:t xml:space="preserve">TA </w:t>
      </w:r>
      <w:r w:rsidRPr="00993EBF">
        <w:t xml:space="preserve">allowed </w:t>
      </w:r>
      <w:r w:rsidR="00E95021">
        <w:t>Ethiopia</w:t>
      </w:r>
      <w:r w:rsidRPr="00993EBF">
        <w:t xml:space="preserve"> to provide clarifications and information that were considered by the AT in the preparation of this report.</w:t>
      </w:r>
      <w:r w:rsidRPr="00993EBF">
        <w:rPr>
          <w:rStyle w:val="FootnoteReference"/>
        </w:rPr>
        <w:footnoteReference w:id="8"/>
      </w:r>
      <w:r w:rsidR="007D43E4">
        <w:t>[</w:t>
      </w:r>
      <w:commentRangeStart w:id="7"/>
      <w:r w:rsidRPr="008B3C75">
        <w:rPr>
          <w:highlight w:val="yellow"/>
        </w:rPr>
        <w:t xml:space="preserve">As a result of the facilitative interactions with the AT during the </w:t>
      </w:r>
      <w:r w:rsidR="00D810F8" w:rsidRPr="008B3C75">
        <w:rPr>
          <w:highlight w:val="yellow"/>
        </w:rPr>
        <w:t>TA</w:t>
      </w:r>
      <w:r w:rsidRPr="008B3C75">
        <w:rPr>
          <w:highlight w:val="yellow"/>
        </w:rPr>
        <w:t xml:space="preserve"> session, </w:t>
      </w:r>
      <w:r w:rsidR="00373F95">
        <w:rPr>
          <w:highlight w:val="yellow"/>
        </w:rPr>
        <w:t>Ethiopia</w:t>
      </w:r>
      <w:r w:rsidRPr="008B3C75">
        <w:rPr>
          <w:highlight w:val="yellow"/>
        </w:rPr>
        <w:t xml:space="preserve"> submitted a modified </w:t>
      </w:r>
      <w:r w:rsidR="00D52456" w:rsidRPr="008B3C75">
        <w:rPr>
          <w:highlight w:val="yellow"/>
        </w:rPr>
        <w:t>version</w:t>
      </w:r>
      <w:r w:rsidRPr="008B3C75">
        <w:rPr>
          <w:highlight w:val="yellow"/>
        </w:rPr>
        <w:t xml:space="preserve"> on </w:t>
      </w:r>
      <w:r w:rsidR="007D43E4" w:rsidRPr="008B3C75">
        <w:rPr>
          <w:highlight w:val="yellow"/>
        </w:rPr>
        <w:t>[date</w:t>
      </w:r>
      <w:r w:rsidRPr="008B3C75">
        <w:rPr>
          <w:highlight w:val="yellow"/>
        </w:rPr>
        <w:t xml:space="preserve"> 201</w:t>
      </w:r>
      <w:r w:rsidR="00AB3C57">
        <w:rPr>
          <w:highlight w:val="yellow"/>
        </w:rPr>
        <w:t>6</w:t>
      </w:r>
      <w:r w:rsidR="007D43E4" w:rsidRPr="008B3C75">
        <w:rPr>
          <w:highlight w:val="yellow"/>
        </w:rPr>
        <w:t>]</w:t>
      </w:r>
      <w:r w:rsidRPr="008B3C75">
        <w:rPr>
          <w:highlight w:val="yellow"/>
        </w:rPr>
        <w:t xml:space="preserve">, </w:t>
      </w:r>
      <w:r w:rsidR="00F527DA" w:rsidRPr="008B3C75">
        <w:rPr>
          <w:highlight w:val="yellow"/>
        </w:rPr>
        <w:t xml:space="preserve">which </w:t>
      </w:r>
      <w:r w:rsidRPr="008B3C75">
        <w:rPr>
          <w:highlight w:val="yellow"/>
        </w:rPr>
        <w:t xml:space="preserve">took into consideration the technical inputs by the </w:t>
      </w:r>
      <w:r w:rsidRPr="008B3C75">
        <w:rPr>
          <w:highlight w:val="yellow"/>
        </w:rPr>
        <w:lastRenderedPageBreak/>
        <w:t xml:space="preserve">AT. The modifications improved </w:t>
      </w:r>
      <w:r w:rsidR="00A25F43" w:rsidRPr="008B3C75">
        <w:rPr>
          <w:highlight w:val="yellow"/>
        </w:rPr>
        <w:t xml:space="preserve">the </w:t>
      </w:r>
      <w:r w:rsidRPr="008B3C75">
        <w:rPr>
          <w:highlight w:val="yellow"/>
        </w:rPr>
        <w:t xml:space="preserve">clarity and transparency of the </w:t>
      </w:r>
      <w:r w:rsidR="00D52456" w:rsidRPr="008B3C75">
        <w:rPr>
          <w:highlight w:val="yellow"/>
        </w:rPr>
        <w:t xml:space="preserve">submitted </w:t>
      </w:r>
      <w:r w:rsidRPr="008B3C75">
        <w:rPr>
          <w:highlight w:val="yellow"/>
        </w:rPr>
        <w:t>FREL</w:t>
      </w:r>
      <w:r w:rsidR="007D43E4" w:rsidRPr="008B3C75">
        <w:rPr>
          <w:i/>
          <w:highlight w:val="yellow"/>
        </w:rPr>
        <w:t>[</w:t>
      </w:r>
      <w:r w:rsidRPr="008B3C75">
        <w:rPr>
          <w:i/>
          <w:highlight w:val="yellow"/>
        </w:rPr>
        <w:t>, without need to alter the approach used to construct the proposed FREL</w:t>
      </w:r>
      <w:r w:rsidR="007D43E4" w:rsidRPr="008B3C75">
        <w:rPr>
          <w:highlight w:val="yellow"/>
        </w:rPr>
        <w:t>]</w:t>
      </w:r>
      <w:r w:rsidR="00D52456" w:rsidRPr="008B3C75">
        <w:rPr>
          <w:highlight w:val="yellow"/>
        </w:rPr>
        <w:t>.</w:t>
      </w:r>
      <w:r w:rsidRPr="008B3C75">
        <w:rPr>
          <w:highlight w:val="yellow"/>
        </w:rPr>
        <w:t xml:space="preserve"> This </w:t>
      </w:r>
      <w:r w:rsidR="005F4057" w:rsidRPr="008B3C75">
        <w:rPr>
          <w:highlight w:val="yellow"/>
        </w:rPr>
        <w:t>TA</w:t>
      </w:r>
      <w:r w:rsidRPr="008B3C75">
        <w:rPr>
          <w:highlight w:val="yellow"/>
        </w:rPr>
        <w:t xml:space="preserve"> report was prepared based on the context of the modified </w:t>
      </w:r>
      <w:r w:rsidR="00373F95">
        <w:rPr>
          <w:highlight w:val="yellow"/>
        </w:rPr>
        <w:t xml:space="preserve">FREL/FRL </w:t>
      </w:r>
      <w:r w:rsidRPr="008B3C75">
        <w:rPr>
          <w:highlight w:val="yellow"/>
        </w:rPr>
        <w:t xml:space="preserve">submission. The modified submission that contains the assessed </w:t>
      </w:r>
      <w:r w:rsidR="00E72A1F" w:rsidRPr="008B3C75">
        <w:rPr>
          <w:highlight w:val="yellow"/>
        </w:rPr>
        <w:t>FREL/</w:t>
      </w:r>
      <w:proofErr w:type="spellStart"/>
      <w:r w:rsidR="00E72A1F" w:rsidRPr="008B3C75">
        <w:rPr>
          <w:highlight w:val="yellow"/>
        </w:rPr>
        <w:t>FRL</w:t>
      </w:r>
      <w:r w:rsidR="0002612D" w:rsidRPr="008B3C75">
        <w:rPr>
          <w:highlight w:val="yellow"/>
        </w:rPr>
        <w:t>and</w:t>
      </w:r>
      <w:proofErr w:type="spellEnd"/>
      <w:r w:rsidRPr="008B3C75">
        <w:rPr>
          <w:highlight w:val="yellow"/>
        </w:rPr>
        <w:t xml:space="preserve"> the original submission are available on the </w:t>
      </w:r>
      <w:r w:rsidR="00732865" w:rsidRPr="008B3C75">
        <w:rPr>
          <w:highlight w:val="yellow"/>
        </w:rPr>
        <w:t xml:space="preserve">UNFCCC </w:t>
      </w:r>
      <w:r w:rsidRPr="008B3C75">
        <w:rPr>
          <w:highlight w:val="yellow"/>
        </w:rPr>
        <w:t>web</w:t>
      </w:r>
      <w:r w:rsidR="00C564B9" w:rsidRPr="008B3C75">
        <w:rPr>
          <w:highlight w:val="yellow"/>
        </w:rPr>
        <w:t>site</w:t>
      </w:r>
      <w:r w:rsidRPr="008B3C75">
        <w:rPr>
          <w:highlight w:val="yellow"/>
        </w:rPr>
        <w:t>.</w:t>
      </w:r>
      <w:r w:rsidRPr="008B3C75">
        <w:rPr>
          <w:rStyle w:val="FootnoteReference"/>
        </w:rPr>
        <w:footnoteReference w:id="9"/>
      </w:r>
      <w:commentRangeEnd w:id="7"/>
      <w:r w:rsidR="00373F95">
        <w:rPr>
          <w:rStyle w:val="CommentReference"/>
        </w:rPr>
        <w:commentReference w:id="7"/>
      </w:r>
      <w:r w:rsidR="007D43E4">
        <w:t>]</w:t>
      </w:r>
    </w:p>
    <w:p w:rsidR="00EC121C" w:rsidRPr="00993EBF" w:rsidRDefault="00EC121C" w:rsidP="00EC121C">
      <w:pPr>
        <w:pStyle w:val="RegH1G"/>
      </w:pPr>
      <w:bookmarkStart w:id="8" w:name="_Toc403571665"/>
      <w:bookmarkStart w:id="9" w:name="_Toc404864966"/>
      <w:bookmarkStart w:id="10" w:name="_Toc405125602"/>
      <w:r w:rsidRPr="00993EBF">
        <w:t>Proposed forest reference emission level</w:t>
      </w:r>
      <w:bookmarkEnd w:id="8"/>
      <w:bookmarkEnd w:id="9"/>
      <w:bookmarkEnd w:id="10"/>
      <w:r w:rsidR="00240B17">
        <w:t xml:space="preserve"> and forest reference level</w:t>
      </w:r>
    </w:p>
    <w:p w:rsidR="000B4738" w:rsidRPr="00186314" w:rsidRDefault="00F351D3" w:rsidP="00F4398C">
      <w:pPr>
        <w:pStyle w:val="AnnoSingleTxtG"/>
      </w:pPr>
      <w:r w:rsidRPr="00186314">
        <w:t xml:space="preserve">The national FREL </w:t>
      </w:r>
      <w:r w:rsidR="00A63C5F" w:rsidRPr="00186314">
        <w:t xml:space="preserve">and FRL </w:t>
      </w:r>
      <w:r w:rsidRPr="00186314">
        <w:t xml:space="preserve">proposed by </w:t>
      </w:r>
      <w:r w:rsidR="00A63C5F" w:rsidRPr="00186314">
        <w:t>Ethiopia</w:t>
      </w:r>
      <w:r w:rsidRPr="00186314">
        <w:t xml:space="preserve"> for the histo</w:t>
      </w:r>
      <w:r w:rsidR="00A63C5F" w:rsidRPr="00D258F6">
        <w:t>rical reference period 2000–2013 includes two REDD</w:t>
      </w:r>
      <w:r w:rsidR="00C73B9B" w:rsidRPr="00D258F6">
        <w:t>-plus</w:t>
      </w:r>
      <w:r w:rsidR="00332C38" w:rsidRPr="00186314">
        <w:rPr>
          <w:rStyle w:val="FootnoteReference"/>
          <w:sz w:val="20"/>
        </w:rPr>
        <w:footnoteReference w:id="10"/>
      </w:r>
      <w:r w:rsidR="00A63C5F" w:rsidRPr="00186314">
        <w:t xml:space="preserve"> activities, </w:t>
      </w:r>
      <w:r w:rsidR="005A4589" w:rsidRPr="00186314">
        <w:t>reducing emissions from deforestation (</w:t>
      </w:r>
      <w:r w:rsidR="00A63C5F" w:rsidRPr="00186314">
        <w:t>deforestation</w:t>
      </w:r>
      <w:r w:rsidR="005A4589" w:rsidRPr="005568B7">
        <w:t>)</w:t>
      </w:r>
      <w:r w:rsidR="005A4589" w:rsidRPr="00186314">
        <w:t>captured in its FREL</w:t>
      </w:r>
      <w:r w:rsidR="00A63C5F" w:rsidRPr="00186314">
        <w:t xml:space="preserve"> and </w:t>
      </w:r>
      <w:r w:rsidR="005A4589" w:rsidRPr="00186314">
        <w:t xml:space="preserve">the </w:t>
      </w:r>
      <w:r w:rsidR="009E141E" w:rsidRPr="00186314">
        <w:t>enhancement of forest stocks</w:t>
      </w:r>
      <w:r w:rsidR="005A4589" w:rsidRPr="00186314">
        <w:t xml:space="preserve">(afforestation) captured in its </w:t>
      </w:r>
      <w:proofErr w:type="spellStart"/>
      <w:r w:rsidR="005A4589" w:rsidRPr="00186314">
        <w:t>FRL</w:t>
      </w:r>
      <w:r w:rsidR="00A63C5F" w:rsidRPr="00186314">
        <w:t>.</w:t>
      </w:r>
      <w:r w:rsidR="007F3ECF" w:rsidRPr="00186314">
        <w:t>The</w:t>
      </w:r>
      <w:proofErr w:type="spellEnd"/>
      <w:r w:rsidR="007F3ECF" w:rsidRPr="00186314">
        <w:t xml:space="preserve"> FREL and FRL </w:t>
      </w:r>
      <w:r w:rsidR="00332C38" w:rsidRPr="00186314">
        <w:t xml:space="preserve">cover </w:t>
      </w:r>
      <w:r w:rsidR="00332C38" w:rsidRPr="00186314">
        <w:rPr>
          <w:rFonts w:eastAsiaTheme="minorEastAsia"/>
          <w:lang w:eastAsia="ja-JP"/>
        </w:rPr>
        <w:t xml:space="preserve">the entire national territory of Ethiopia </w:t>
      </w:r>
      <w:r w:rsidR="00332C38" w:rsidRPr="00186314">
        <w:t>incorporating all forests in the country</w:t>
      </w:r>
      <w:r w:rsidR="000C0EE7" w:rsidRPr="00186314">
        <w:t xml:space="preserve">, </w:t>
      </w:r>
      <w:proofErr w:type="spellStart"/>
      <w:r w:rsidR="000C0EE7" w:rsidRPr="00186314">
        <w:t>t</w:t>
      </w:r>
      <w:r w:rsidR="00AB3C57" w:rsidRPr="00186314">
        <w:t>hey</w:t>
      </w:r>
      <w:r w:rsidR="007F3ECF" w:rsidRPr="00186314">
        <w:t>are</w:t>
      </w:r>
      <w:proofErr w:type="spellEnd"/>
      <w:r w:rsidR="007F3ECF" w:rsidRPr="00186314">
        <w:t xml:space="preserve"> valid for at least five </w:t>
      </w:r>
      <w:proofErr w:type="spellStart"/>
      <w:r w:rsidR="007F3ECF" w:rsidRPr="00186314">
        <w:t>years</w:t>
      </w:r>
      <w:r w:rsidR="00E0270B">
        <w:t>but</w:t>
      </w:r>
      <w:proofErr w:type="spellEnd"/>
      <w:r w:rsidR="00E0270B">
        <w:t xml:space="preserve"> </w:t>
      </w:r>
      <w:r w:rsidR="000C0EE7" w:rsidRPr="00186314">
        <w:t xml:space="preserve">that </w:t>
      </w:r>
      <w:r w:rsidR="0067106F">
        <w:t>they</w:t>
      </w:r>
      <w:r w:rsidR="000C0EE7" w:rsidRPr="00186314">
        <w:t xml:space="preserve"> may be improved or </w:t>
      </w:r>
      <w:r w:rsidR="00E51060">
        <w:t>resubmitted</w:t>
      </w:r>
      <w:r w:rsidR="000C0EE7" w:rsidRPr="00186314">
        <w:t xml:space="preserve"> more </w:t>
      </w:r>
      <w:proofErr w:type="spellStart"/>
      <w:r w:rsidR="000C0EE7" w:rsidRPr="00186314">
        <w:t>frequently</w:t>
      </w:r>
      <w:r w:rsidR="007F3ECF" w:rsidRPr="00186314">
        <w:t>and</w:t>
      </w:r>
      <w:proofErr w:type="spellEnd"/>
      <w:r w:rsidR="007F3ECF" w:rsidRPr="00186314">
        <w:t xml:space="preserve"> will be revised periodically</w:t>
      </w:r>
      <w:r w:rsidR="00186314" w:rsidRPr="00186314">
        <w:t xml:space="preserve"> in order to incorporate new or improved data that may be available</w:t>
      </w:r>
      <w:r w:rsidR="007F3ECF" w:rsidRPr="00186314">
        <w:t>.</w:t>
      </w:r>
    </w:p>
    <w:p w:rsidR="00F351D3" w:rsidRPr="00332C38" w:rsidRDefault="002E748F" w:rsidP="00F4398C">
      <w:pPr>
        <w:pStyle w:val="AnnoSingleTxtG"/>
      </w:pPr>
      <w:r w:rsidRPr="00332C38">
        <w:t>The FREL i</w:t>
      </w:r>
      <w:r w:rsidR="00F351D3" w:rsidRPr="00332C38">
        <w:t>s the annual average of the carbon dioxide (CO</w:t>
      </w:r>
      <w:r w:rsidR="00F351D3" w:rsidRPr="00332C38">
        <w:rPr>
          <w:vertAlign w:val="subscript"/>
        </w:rPr>
        <w:t>2</w:t>
      </w:r>
      <w:r w:rsidR="00F351D3" w:rsidRPr="00332C38">
        <w:t>) emissions assoc</w:t>
      </w:r>
      <w:r w:rsidR="00A63C5F" w:rsidRPr="00332C38">
        <w:t xml:space="preserve">iated with </w:t>
      </w:r>
      <w:r w:rsidR="00F46966" w:rsidRPr="00332C38">
        <w:t xml:space="preserve">adjusted estimates of </w:t>
      </w:r>
      <w:r w:rsidR="00A63C5F" w:rsidRPr="00332C38">
        <w:t>deforestation</w:t>
      </w:r>
      <w:r w:rsidR="00F351D3" w:rsidRPr="00332C38">
        <w:t xml:space="preserve">, defined </w:t>
      </w:r>
      <w:proofErr w:type="spellStart"/>
      <w:r w:rsidR="00F351D3" w:rsidRPr="00332C38">
        <w:t>asthe</w:t>
      </w:r>
      <w:proofErr w:type="spellEnd"/>
      <w:r w:rsidR="00F351D3" w:rsidRPr="00332C38">
        <w:t xml:space="preserve"> conversion of forest </w:t>
      </w:r>
      <w:r w:rsidR="00A63C5F" w:rsidRPr="00332C38">
        <w:t>land to other land</w:t>
      </w:r>
      <w:r w:rsidR="00AB3C57">
        <w:t>. A</w:t>
      </w:r>
      <w:r w:rsidR="00F46966" w:rsidRPr="00332C38">
        <w:t xml:space="preserve">ny transition below the thresholds of </w:t>
      </w:r>
      <w:r w:rsidR="00AB3C57">
        <w:t xml:space="preserve">the </w:t>
      </w:r>
      <w:r w:rsidR="00F46966" w:rsidRPr="00332C38">
        <w:t>forest definition is considered as deforestation</w:t>
      </w:r>
      <w:r w:rsidR="00F351D3" w:rsidRPr="00332C38">
        <w:t>.</w:t>
      </w:r>
      <w:r w:rsidRPr="00332C38">
        <w:t xml:space="preserve"> The FRL is the annual </w:t>
      </w:r>
      <w:proofErr w:type="spellStart"/>
      <w:r w:rsidRPr="00332C38">
        <w:t>averageof</w:t>
      </w:r>
      <w:proofErr w:type="spellEnd"/>
      <w:r w:rsidRPr="00332C38">
        <w:t xml:space="preserve"> the carbon dioxide (CO</w:t>
      </w:r>
      <w:r w:rsidRPr="00332C38">
        <w:rPr>
          <w:vertAlign w:val="subscript"/>
        </w:rPr>
        <w:t>2</w:t>
      </w:r>
      <w:r w:rsidRPr="00332C38">
        <w:t xml:space="preserve">) removals associated with </w:t>
      </w:r>
      <w:r w:rsidR="00D37386" w:rsidRPr="00332C38">
        <w:t xml:space="preserve">adjusted estimates of afforestation or </w:t>
      </w:r>
      <w:r w:rsidR="009E141E" w:rsidRPr="00332C38">
        <w:t xml:space="preserve">the enhancement of forest </w:t>
      </w:r>
      <w:r w:rsidR="00332C38" w:rsidRPr="00332C38">
        <w:t xml:space="preserve">carbon </w:t>
      </w:r>
      <w:r w:rsidR="009E141E" w:rsidRPr="00332C38">
        <w:t>stocks</w:t>
      </w:r>
      <w:r w:rsidRPr="00332C38">
        <w:t xml:space="preserve">, defined </w:t>
      </w:r>
      <w:proofErr w:type="spellStart"/>
      <w:r w:rsidRPr="00332C38">
        <w:t>asthe</w:t>
      </w:r>
      <w:proofErr w:type="spellEnd"/>
      <w:r w:rsidRPr="00332C38">
        <w:t xml:space="preserve"> conversion of other land to forest land</w:t>
      </w:r>
      <w:r w:rsidR="00D37386" w:rsidRPr="00332C38">
        <w:t xml:space="preserve"> or any transition above the thresholds of the forest definition</w:t>
      </w:r>
      <w:r w:rsidRPr="00332C38">
        <w:t xml:space="preserve">. </w:t>
      </w:r>
      <w:r w:rsidR="00F351D3" w:rsidRPr="00332C38">
        <w:t xml:space="preserve">The FREL presented in the submission, with the aim of accessing results-based payments for REDD-plus activities, corresponds to </w:t>
      </w:r>
      <w:r w:rsidR="00332C38" w:rsidRPr="00332C38">
        <w:t xml:space="preserve">emissions of </w:t>
      </w:r>
      <w:r w:rsidR="008479A4" w:rsidRPr="00332C38">
        <w:t>19,498,496</w:t>
      </w:r>
      <w:r w:rsidR="00F351D3" w:rsidRPr="00332C38">
        <w:t xml:space="preserve"> tonnes of carbon dioxide equivalent per year (t CO</w:t>
      </w:r>
      <w:r w:rsidR="00F351D3" w:rsidRPr="00332C38">
        <w:rPr>
          <w:vertAlign w:val="subscript"/>
        </w:rPr>
        <w:t xml:space="preserve">2 </w:t>
      </w:r>
      <w:proofErr w:type="spellStart"/>
      <w:r w:rsidR="00F351D3" w:rsidRPr="00332C38">
        <w:t>eq</w:t>
      </w:r>
      <w:proofErr w:type="spellEnd"/>
      <w:r w:rsidR="00F351D3" w:rsidRPr="00332C38">
        <w:t>/year).</w:t>
      </w:r>
      <w:r w:rsidR="008479A4" w:rsidRPr="00332C38">
        <w:t xml:space="preserve"> The FRL presented in the submission corresponds to</w:t>
      </w:r>
      <w:r w:rsidR="00332C38" w:rsidRPr="00332C38">
        <w:t xml:space="preserve"> removals of-</w:t>
      </w:r>
      <w:r w:rsidR="008479A4" w:rsidRPr="00332C38">
        <w:t>10,247,080.97</w:t>
      </w:r>
      <w:r w:rsidR="00C347A4" w:rsidRPr="00332C38">
        <w:t xml:space="preserve"> tonnes of carbon dioxide equivalent per year (t CO</w:t>
      </w:r>
      <w:r w:rsidR="00C347A4" w:rsidRPr="00332C38">
        <w:rPr>
          <w:vertAlign w:val="subscript"/>
        </w:rPr>
        <w:t xml:space="preserve">2 </w:t>
      </w:r>
      <w:proofErr w:type="spellStart"/>
      <w:r w:rsidR="00C347A4" w:rsidRPr="00332C38">
        <w:t>eq</w:t>
      </w:r>
      <w:proofErr w:type="spellEnd"/>
      <w:r w:rsidR="00C347A4" w:rsidRPr="00332C38">
        <w:t>/year).</w:t>
      </w:r>
    </w:p>
    <w:p w:rsidR="00EC121C" w:rsidRPr="00886AB7" w:rsidRDefault="00EC121C" w:rsidP="00F4398C">
      <w:pPr>
        <w:pStyle w:val="AnnoSingleTxtG"/>
      </w:pPr>
      <w:r w:rsidRPr="00993EBF">
        <w:t xml:space="preserve">In this submission, </w:t>
      </w:r>
      <w:r w:rsidR="00C347A4">
        <w:t>Ethiopia</w:t>
      </w:r>
      <w:r w:rsidRPr="00993EBF">
        <w:t xml:space="preserve"> applies a step-wise approach to its development of </w:t>
      </w:r>
      <w:r w:rsidR="00C430BF" w:rsidRPr="00993EBF">
        <w:t xml:space="preserve">the </w:t>
      </w:r>
      <w:r w:rsidRPr="00993EBF">
        <w:t>FREL</w:t>
      </w:r>
      <w:r w:rsidR="00465DDF">
        <w:t>/FRL</w:t>
      </w:r>
      <w:r w:rsidRPr="00993EBF">
        <w:t xml:space="preserve">, in accordance with </w:t>
      </w:r>
      <w:r w:rsidR="008A004A" w:rsidRPr="00993EBF">
        <w:t>d</w:t>
      </w:r>
      <w:r w:rsidRPr="00993EBF">
        <w:t xml:space="preserve">ecision 12/CP.17, paragraph 10. The step-wise approach enables Parties to improve </w:t>
      </w:r>
      <w:r w:rsidRPr="00886AB7">
        <w:t xml:space="preserve">the </w:t>
      </w:r>
      <w:r w:rsidR="00C347A4" w:rsidRPr="00886AB7">
        <w:t xml:space="preserve">FREL and </w:t>
      </w:r>
      <w:proofErr w:type="spellStart"/>
      <w:r w:rsidR="00E72A1F" w:rsidRPr="00886AB7">
        <w:t>FRL</w:t>
      </w:r>
      <w:r w:rsidRPr="00886AB7">
        <w:t>by</w:t>
      </w:r>
      <w:proofErr w:type="spellEnd"/>
      <w:r w:rsidRPr="00886AB7">
        <w:t xml:space="preserve"> incorporating better data, improved methodologies and, where appropriate, additional pools.</w:t>
      </w:r>
      <w:r w:rsidR="006C7066" w:rsidRPr="00886AB7">
        <w:t xml:space="preserve"> The national FREL/FRL is based on national activity data</w:t>
      </w:r>
      <w:r w:rsidR="00734D8F" w:rsidRPr="00886AB7">
        <w:t xml:space="preserve"> derived from remote sensing </w:t>
      </w:r>
      <w:r w:rsidR="00B830A5" w:rsidRPr="00886AB7">
        <w:t xml:space="preserve">and estimated areas </w:t>
      </w:r>
      <w:r w:rsidR="00734D8F" w:rsidRPr="00886AB7">
        <w:t xml:space="preserve">adjusted </w:t>
      </w:r>
      <w:r w:rsidR="00224226" w:rsidRPr="00886AB7">
        <w:t xml:space="preserve">by a factor of 3.21 times for deforested area and 10.8 times for afforested areas </w:t>
      </w:r>
      <w:proofErr w:type="spellStart"/>
      <w:r w:rsidR="00224226" w:rsidRPr="00886AB7">
        <w:t>fortaking</w:t>
      </w:r>
      <w:proofErr w:type="spellEnd"/>
      <w:r w:rsidR="00B830A5" w:rsidRPr="00886AB7">
        <w:t xml:space="preserve"> into account the map bias</w:t>
      </w:r>
      <w:r w:rsidR="001773A4">
        <w:t xml:space="preserve">. The area change </w:t>
      </w:r>
      <w:r w:rsidR="00236172">
        <w:t>by biome</w:t>
      </w:r>
      <w:r w:rsidR="006C7066" w:rsidRPr="00886AB7">
        <w:t xml:space="preserve"> and interim emission factors </w:t>
      </w:r>
      <w:r w:rsidR="00236172">
        <w:t xml:space="preserve">are </w:t>
      </w:r>
      <w:r w:rsidR="006C7066" w:rsidRPr="00886AB7">
        <w:t xml:space="preserve">derived from the </w:t>
      </w:r>
      <w:proofErr w:type="spellStart"/>
      <w:r w:rsidR="006C7066" w:rsidRPr="00886AB7">
        <w:t>Oromia</w:t>
      </w:r>
      <w:proofErr w:type="spellEnd"/>
      <w:r w:rsidR="006C7066" w:rsidRPr="00886AB7">
        <w:t xml:space="preserve"> </w:t>
      </w:r>
      <w:r w:rsidR="00720ADB" w:rsidRPr="00886AB7">
        <w:t>R</w:t>
      </w:r>
      <w:r w:rsidR="006C7066" w:rsidRPr="00886AB7">
        <w:t xml:space="preserve">egion. </w:t>
      </w:r>
      <w:r w:rsidR="00DF1B5E" w:rsidRPr="00886AB7">
        <w:t>Ethiopia intends to replace t</w:t>
      </w:r>
      <w:r w:rsidR="006C7066" w:rsidRPr="00886AB7">
        <w:t xml:space="preserve">he </w:t>
      </w:r>
      <w:proofErr w:type="spellStart"/>
      <w:r w:rsidR="006C7066" w:rsidRPr="00886AB7">
        <w:t>Oromia</w:t>
      </w:r>
      <w:proofErr w:type="spellEnd"/>
      <w:r w:rsidR="006C7066" w:rsidRPr="00886AB7">
        <w:t xml:space="preserve"> </w:t>
      </w:r>
      <w:r w:rsidR="00720ADB" w:rsidRPr="00886AB7">
        <w:t>R</w:t>
      </w:r>
      <w:r w:rsidR="006C7066" w:rsidRPr="00886AB7">
        <w:t xml:space="preserve">egion </w:t>
      </w:r>
      <w:r w:rsidR="00236172">
        <w:t xml:space="preserve">biome and </w:t>
      </w:r>
      <w:r w:rsidR="006C7066" w:rsidRPr="00886AB7">
        <w:t xml:space="preserve">emission factors with national </w:t>
      </w:r>
      <w:r w:rsidR="00236172">
        <w:t xml:space="preserve">biome and </w:t>
      </w:r>
      <w:r w:rsidR="006C7066" w:rsidRPr="00886AB7">
        <w:t>emission factors</w:t>
      </w:r>
      <w:r w:rsidR="00DF1B5E" w:rsidRPr="00886AB7">
        <w:t xml:space="preserve"> based on </w:t>
      </w:r>
      <w:r w:rsidR="00E51060" w:rsidRPr="00886AB7">
        <w:t xml:space="preserve">the analysis of </w:t>
      </w:r>
      <w:r w:rsidR="00DF1B5E" w:rsidRPr="00886AB7">
        <w:t>more extensive data</w:t>
      </w:r>
      <w:r w:rsidR="006C7066" w:rsidRPr="00886AB7">
        <w:t>.</w:t>
      </w:r>
    </w:p>
    <w:p w:rsidR="008F3931" w:rsidRDefault="00EC121C" w:rsidP="00F4398C">
      <w:pPr>
        <w:pStyle w:val="AnnoSingleTxtG"/>
      </w:pPr>
      <w:r w:rsidRPr="00886AB7">
        <w:t xml:space="preserve">The proposed </w:t>
      </w:r>
      <w:r w:rsidR="00194724" w:rsidRPr="00886AB7">
        <w:t xml:space="preserve">FREL and </w:t>
      </w:r>
      <w:proofErr w:type="spellStart"/>
      <w:r w:rsidR="00E72A1F" w:rsidRPr="00886AB7">
        <w:t>FRL</w:t>
      </w:r>
      <w:r w:rsidR="009E141E" w:rsidRPr="00886AB7">
        <w:t>include</w:t>
      </w:r>
      <w:proofErr w:type="spellEnd"/>
      <w:r w:rsidRPr="00886AB7">
        <w:t xml:space="preserve"> the pools </w:t>
      </w:r>
      <w:r w:rsidR="00194724" w:rsidRPr="00886AB7">
        <w:t xml:space="preserve">above ground biomass, below ground biomass and </w:t>
      </w:r>
      <w:proofErr w:type="spellStart"/>
      <w:r w:rsidR="00194724" w:rsidRPr="00886AB7">
        <w:t>deadwood.</w:t>
      </w:r>
      <w:r w:rsidR="00240B17" w:rsidRPr="00886AB7">
        <w:t>The</w:t>
      </w:r>
      <w:proofErr w:type="spellEnd"/>
      <w:r w:rsidR="00240B17" w:rsidRPr="00886AB7">
        <w:t xml:space="preserve"> litter and</w:t>
      </w:r>
      <w:r w:rsidR="00240B17">
        <w:t xml:space="preserve"> soil </w:t>
      </w:r>
      <w:r w:rsidR="00FC56BE">
        <w:t>pools a</w:t>
      </w:r>
      <w:r w:rsidR="00240B17">
        <w:t>re not included</w:t>
      </w:r>
      <w:r w:rsidR="008F3931">
        <w:t xml:space="preserve"> in either the FREL or the FRL</w:t>
      </w:r>
      <w:r w:rsidR="00240B17">
        <w:t>. Some litter data have been collected</w:t>
      </w:r>
      <w:r w:rsidR="00E51060">
        <w:t xml:space="preserve"> but these are not sufficient to enable the reporting of this pool. </w:t>
      </w:r>
      <w:r w:rsidR="00E0270B">
        <w:t>Ethiopia has assessed</w:t>
      </w:r>
      <w:r w:rsidR="00F56E74">
        <w:t xml:space="preserve"> existing </w:t>
      </w:r>
      <w:proofErr w:type="spellStart"/>
      <w:r w:rsidR="00F56E74">
        <w:t>information</w:t>
      </w:r>
      <w:r w:rsidR="00E0270B">
        <w:t>which</w:t>
      </w:r>
      <w:proofErr w:type="spellEnd"/>
      <w:r w:rsidR="00E0270B">
        <w:t xml:space="preserve"> </w:t>
      </w:r>
      <w:r w:rsidR="00240B17">
        <w:t>indicates the litter pool is not a significant source of emissions</w:t>
      </w:r>
      <w:r w:rsidR="00361165">
        <w:t>, and is therefore omitted</w:t>
      </w:r>
      <w:r w:rsidR="00240B17">
        <w:t xml:space="preserve">. </w:t>
      </w:r>
      <w:r w:rsidR="00361165">
        <w:t>Ethiopia acknowledge</w:t>
      </w:r>
      <w:r w:rsidR="0092121D">
        <w:t>s that</w:t>
      </w:r>
      <w:r w:rsidR="00361165">
        <w:t xml:space="preserve"> the soil pool may be very large and variable, but due to the difficulty in obtaining accurate data the pool is excluded from this submission.</w:t>
      </w:r>
    </w:p>
    <w:p w:rsidR="00EC121C" w:rsidRPr="00993EBF" w:rsidRDefault="00EC121C" w:rsidP="00F4398C">
      <w:pPr>
        <w:pStyle w:val="AnnoSingleTxtG"/>
      </w:pPr>
      <w:r w:rsidRPr="00993EBF">
        <w:lastRenderedPageBreak/>
        <w:t>Regarding greenhouse gases (GHG</w:t>
      </w:r>
      <w:r w:rsidR="00505502" w:rsidRPr="00993EBF">
        <w:t>s</w:t>
      </w:r>
      <w:r w:rsidRPr="00993EBF">
        <w:t xml:space="preserve">), the submission includes </w:t>
      </w:r>
      <w:r w:rsidR="00641438" w:rsidRPr="00993EBF">
        <w:t>CO</w:t>
      </w:r>
      <w:r w:rsidR="00641438" w:rsidRPr="00993EBF">
        <w:rPr>
          <w:vertAlign w:val="subscript"/>
        </w:rPr>
        <w:t>2</w:t>
      </w:r>
      <w:r w:rsidR="00F56E74">
        <w:t xml:space="preserve"> only.</w:t>
      </w:r>
      <w:r w:rsidR="00361165">
        <w:t xml:space="preserve"> Non-</w:t>
      </w:r>
      <w:r w:rsidR="00361165" w:rsidRPr="00993EBF">
        <w:t>CO</w:t>
      </w:r>
      <w:r w:rsidR="00361165" w:rsidRPr="00993EBF">
        <w:rPr>
          <w:vertAlign w:val="subscript"/>
        </w:rPr>
        <w:t>2</w:t>
      </w:r>
      <w:r w:rsidR="000B5099">
        <w:t xml:space="preserve">gases were estimated to be less than 0.2% </w:t>
      </w:r>
      <w:r w:rsidR="00B0104D">
        <w:t xml:space="preserve">of the deforestation emissions and therefore insignificant. </w:t>
      </w:r>
    </w:p>
    <w:p w:rsidR="00EC121C" w:rsidRPr="00993EBF" w:rsidRDefault="00EC121C" w:rsidP="00EC121C">
      <w:pPr>
        <w:pStyle w:val="RegHChG"/>
      </w:pPr>
      <w:bookmarkStart w:id="11" w:name="_Toc403571666"/>
      <w:bookmarkStart w:id="12" w:name="_Toc404864967"/>
      <w:bookmarkStart w:id="13" w:name="_Toc405125603"/>
      <w:r w:rsidRPr="00993EBF">
        <w:t>Data, methodologies and procedures used in the construction of the proposed forest reference emission level</w:t>
      </w:r>
      <w:bookmarkEnd w:id="11"/>
      <w:bookmarkEnd w:id="12"/>
      <w:bookmarkEnd w:id="13"/>
      <w:r w:rsidR="00F9337C">
        <w:t xml:space="preserve"> [forest reference level]</w:t>
      </w:r>
    </w:p>
    <w:p w:rsidR="006E3DFD" w:rsidRDefault="006E3DFD" w:rsidP="006E3DFD">
      <w:pPr>
        <w:pStyle w:val="RegH1G"/>
        <w:numPr>
          <w:ilvl w:val="0"/>
          <w:numId w:val="0"/>
        </w:numPr>
        <w:ind w:left="1135"/>
        <w:rPr>
          <w:szCs w:val="24"/>
        </w:rPr>
      </w:pPr>
      <w:bookmarkStart w:id="14" w:name="_Toc403571667"/>
      <w:bookmarkStart w:id="15" w:name="_Toc405125604"/>
      <w:r w:rsidRPr="00993EBF">
        <w:rPr>
          <w:szCs w:val="24"/>
        </w:rPr>
        <w:t>How each element in the annex to decision 12/CP.17 was taken into account in the construction of the forest reference emission level</w:t>
      </w:r>
      <w:bookmarkEnd w:id="14"/>
      <w:bookmarkEnd w:id="15"/>
    </w:p>
    <w:p w:rsidR="002B148E" w:rsidRPr="00993EBF" w:rsidRDefault="002B148E" w:rsidP="00993EBF">
      <w:pPr>
        <w:pStyle w:val="RegH23G"/>
      </w:pPr>
      <w:bookmarkStart w:id="16" w:name="_Toc404864968"/>
      <w:r w:rsidRPr="00993EBF">
        <w:t xml:space="preserve">Information that was used by the Party in the construction of the forest reference emission </w:t>
      </w:r>
      <w:proofErr w:type="spellStart"/>
      <w:r w:rsidRPr="00993EBF">
        <w:t>level</w:t>
      </w:r>
      <w:bookmarkEnd w:id="16"/>
      <w:r w:rsidR="0092121D">
        <w:t>and</w:t>
      </w:r>
      <w:proofErr w:type="spellEnd"/>
      <w:r w:rsidR="0092121D">
        <w:t xml:space="preserve"> </w:t>
      </w:r>
      <w:r w:rsidR="00F9337C">
        <w:t>forest reference level</w:t>
      </w:r>
    </w:p>
    <w:p w:rsidR="002B148E" w:rsidRPr="00886AB7" w:rsidRDefault="002B148E" w:rsidP="00F4398C">
      <w:pPr>
        <w:pStyle w:val="AnnoSingleTxtG"/>
      </w:pPr>
      <w:r w:rsidRPr="00886AB7">
        <w:t>For the construction of the FREL</w:t>
      </w:r>
      <w:r w:rsidR="00F9337C" w:rsidRPr="00886AB7">
        <w:t xml:space="preserve">/FRL, </w:t>
      </w:r>
      <w:r w:rsidR="00653D3B" w:rsidRPr="00886AB7">
        <w:t>Ethiopia</w:t>
      </w:r>
      <w:r w:rsidR="00A914D8" w:rsidRPr="00886AB7">
        <w:t xml:space="preserve"> applied</w:t>
      </w:r>
      <w:r w:rsidR="002124B6" w:rsidRPr="00886AB7">
        <w:t xml:space="preserve"> the</w:t>
      </w:r>
      <w:r w:rsidR="002124B6" w:rsidRPr="00886AB7">
        <w:rPr>
          <w:i/>
        </w:rPr>
        <w:t>2006</w:t>
      </w:r>
      <w:r w:rsidR="00F9337C" w:rsidRPr="00886AB7">
        <w:rPr>
          <w:i/>
        </w:rPr>
        <w:t xml:space="preserve">IPCC </w:t>
      </w:r>
      <w:r w:rsidR="00A914D8" w:rsidRPr="00886AB7">
        <w:rPr>
          <w:i/>
        </w:rPr>
        <w:t>G</w:t>
      </w:r>
      <w:r w:rsidR="00F9337C" w:rsidRPr="00886AB7">
        <w:rPr>
          <w:i/>
        </w:rPr>
        <w:t>uidelines</w:t>
      </w:r>
      <w:r w:rsidR="00A914D8" w:rsidRPr="00886AB7">
        <w:rPr>
          <w:i/>
        </w:rPr>
        <w:t xml:space="preserve"> for National Greenhouse Gas Inventories </w:t>
      </w:r>
      <w:r w:rsidR="00A914D8" w:rsidRPr="00886AB7">
        <w:t>(hereinafter referred to as the 2006 IPCC Guidelines)</w:t>
      </w:r>
      <w:r w:rsidR="00E229A4" w:rsidRPr="00886AB7">
        <w:t xml:space="preserve"> and the </w:t>
      </w:r>
      <w:r w:rsidR="00EB3640" w:rsidRPr="00886AB7">
        <w:t xml:space="preserve">2003 </w:t>
      </w:r>
      <w:r w:rsidR="00F56E74" w:rsidRPr="0040120E">
        <w:rPr>
          <w:i/>
        </w:rPr>
        <w:t>G</w:t>
      </w:r>
      <w:r w:rsidR="00E229A4" w:rsidRPr="0040120E">
        <w:rPr>
          <w:i/>
        </w:rPr>
        <w:t xml:space="preserve">ood </w:t>
      </w:r>
      <w:r w:rsidR="00F56E74" w:rsidRPr="0040120E">
        <w:rPr>
          <w:i/>
        </w:rPr>
        <w:t>P</w:t>
      </w:r>
      <w:r w:rsidR="00E229A4" w:rsidRPr="0040120E">
        <w:rPr>
          <w:i/>
        </w:rPr>
        <w:t xml:space="preserve">ractice </w:t>
      </w:r>
      <w:r w:rsidR="00F56E74" w:rsidRPr="0040120E">
        <w:rPr>
          <w:i/>
        </w:rPr>
        <w:t>G</w:t>
      </w:r>
      <w:r w:rsidR="00E229A4" w:rsidRPr="0040120E">
        <w:rPr>
          <w:i/>
        </w:rPr>
        <w:t xml:space="preserve">uidance for </w:t>
      </w:r>
      <w:r w:rsidR="00F56E74" w:rsidRPr="0040120E">
        <w:rPr>
          <w:i/>
        </w:rPr>
        <w:t>L</w:t>
      </w:r>
      <w:r w:rsidR="00E229A4" w:rsidRPr="0040120E">
        <w:rPr>
          <w:i/>
        </w:rPr>
        <w:t xml:space="preserve">and </w:t>
      </w:r>
      <w:r w:rsidR="00F56E74" w:rsidRPr="0040120E">
        <w:rPr>
          <w:i/>
        </w:rPr>
        <w:t>U</w:t>
      </w:r>
      <w:r w:rsidR="00E229A4" w:rsidRPr="0040120E">
        <w:rPr>
          <w:i/>
        </w:rPr>
        <w:t xml:space="preserve">se, </w:t>
      </w:r>
      <w:r w:rsidR="00F56E74" w:rsidRPr="0040120E">
        <w:rPr>
          <w:i/>
        </w:rPr>
        <w:t>L</w:t>
      </w:r>
      <w:r w:rsidR="00E229A4" w:rsidRPr="0040120E">
        <w:rPr>
          <w:i/>
        </w:rPr>
        <w:t>and-</w:t>
      </w:r>
      <w:r w:rsidR="00F56E74" w:rsidRPr="0040120E">
        <w:rPr>
          <w:i/>
        </w:rPr>
        <w:t>U</w:t>
      </w:r>
      <w:r w:rsidR="00E229A4" w:rsidRPr="0040120E">
        <w:rPr>
          <w:i/>
        </w:rPr>
        <w:t xml:space="preserve">se </w:t>
      </w:r>
      <w:r w:rsidR="00F56E74" w:rsidRPr="0040120E">
        <w:rPr>
          <w:i/>
        </w:rPr>
        <w:t>C</w:t>
      </w:r>
      <w:r w:rsidR="00E229A4" w:rsidRPr="0040120E">
        <w:rPr>
          <w:i/>
        </w:rPr>
        <w:t xml:space="preserve">hange and </w:t>
      </w:r>
      <w:r w:rsidR="00F56E74" w:rsidRPr="0040120E">
        <w:rPr>
          <w:i/>
        </w:rPr>
        <w:t>F</w:t>
      </w:r>
      <w:r w:rsidR="00E229A4" w:rsidRPr="0040120E">
        <w:rPr>
          <w:i/>
        </w:rPr>
        <w:t>orestry</w:t>
      </w:r>
      <w:r w:rsidR="00E229A4" w:rsidRPr="00886AB7">
        <w:t xml:space="preserve"> (hereinafter referred to as </w:t>
      </w:r>
      <w:r w:rsidR="00541D27" w:rsidRPr="00886AB7">
        <w:t xml:space="preserve">the </w:t>
      </w:r>
      <w:r w:rsidR="00E229A4" w:rsidRPr="00886AB7">
        <w:t>GPG-LULUCF</w:t>
      </w:r>
      <w:r w:rsidR="00541D27" w:rsidRPr="00886AB7">
        <w:t>)</w:t>
      </w:r>
      <w:r w:rsidR="00A914D8" w:rsidRPr="00886AB7">
        <w:t xml:space="preserve">. </w:t>
      </w:r>
    </w:p>
    <w:p w:rsidR="00563706" w:rsidRDefault="000B5010" w:rsidP="00F4398C">
      <w:pPr>
        <w:pStyle w:val="AnnoSingleTxtG"/>
      </w:pPr>
      <w:r>
        <w:t xml:space="preserve">Ethiopia’s proposed FREL </w:t>
      </w:r>
      <w:r w:rsidR="008F3931">
        <w:t xml:space="preserve">includes emissions </w:t>
      </w:r>
      <w:r>
        <w:t>f</w:t>
      </w:r>
      <w:r w:rsidR="008F3931">
        <w:t>rom</w:t>
      </w:r>
      <w:r>
        <w:t xml:space="preserve"> </w:t>
      </w:r>
      <w:proofErr w:type="spellStart"/>
      <w:r>
        <w:t>deforestationdefined</w:t>
      </w:r>
      <w:proofErr w:type="spellEnd"/>
      <w:r>
        <w:t xml:space="preserve"> </w:t>
      </w:r>
      <w:proofErr w:type="spellStart"/>
      <w:r w:rsidRPr="00A63C5F">
        <w:t>asthe</w:t>
      </w:r>
      <w:proofErr w:type="spellEnd"/>
      <w:r w:rsidRPr="00A63C5F">
        <w:t xml:space="preserve"> conversion of forest </w:t>
      </w:r>
      <w:r>
        <w:t>land to other land</w:t>
      </w:r>
      <w:r w:rsidRPr="00A63C5F">
        <w:t>. The FREL includes only the gross emissions from deforestation</w:t>
      </w:r>
      <w:r w:rsidR="00832559">
        <w:t xml:space="preserve">, identified </w:t>
      </w:r>
      <w:proofErr w:type="spellStart"/>
      <w:r w:rsidR="00832559">
        <w:t>whenland</w:t>
      </w:r>
      <w:proofErr w:type="spellEnd"/>
      <w:r w:rsidR="00832559">
        <w:t xml:space="preserve"> classified as </w:t>
      </w:r>
      <w:r w:rsidR="00A835A7">
        <w:t>forest land</w:t>
      </w:r>
      <w:r w:rsidR="00832559">
        <w:t xml:space="preserve"> has transitioned </w:t>
      </w:r>
      <w:r w:rsidR="00455EAD">
        <w:t xml:space="preserve">to </w:t>
      </w:r>
      <w:r w:rsidR="00832559">
        <w:t xml:space="preserve">land that no longer meets Ethiopia’s </w:t>
      </w:r>
      <w:r>
        <w:t>forest definition, including the transition of forest land to open woodland</w:t>
      </w:r>
      <w:r w:rsidR="0092121D">
        <w:t xml:space="preserve">. </w:t>
      </w:r>
      <w:r w:rsidR="00F56E74">
        <w:t>It</w:t>
      </w:r>
      <w:r w:rsidR="002144E6">
        <w:t xml:space="preserve"> does not require evidence of direct human induced land-</w:t>
      </w:r>
      <w:r w:rsidR="00F56E74">
        <w:t xml:space="preserve">use </w:t>
      </w:r>
      <w:proofErr w:type="spellStart"/>
      <w:r w:rsidR="00F56E74">
        <w:t>change</w:t>
      </w:r>
      <w:r w:rsidR="00EB3640">
        <w:t>.</w:t>
      </w:r>
      <w:r w:rsidR="0092121D">
        <w:t>It</w:t>
      </w:r>
      <w:proofErr w:type="spellEnd"/>
      <w:r w:rsidRPr="00A63C5F">
        <w:t xml:space="preserve"> excludes any subsequent emissions and removals from the defores</w:t>
      </w:r>
      <w:r>
        <w:t xml:space="preserve">ted </w:t>
      </w:r>
      <w:r w:rsidR="00563706">
        <w:t>lands</w:t>
      </w:r>
      <w:r w:rsidRPr="00A63C5F">
        <w:t>.</w:t>
      </w:r>
    </w:p>
    <w:p w:rsidR="00F032FD" w:rsidRPr="00DB773D" w:rsidRDefault="00F032FD" w:rsidP="00F4398C">
      <w:pPr>
        <w:pStyle w:val="AnnoSingleTxtG"/>
      </w:pPr>
      <w:r>
        <w:t xml:space="preserve">Ethiopia’s proposed FRL is for </w:t>
      </w:r>
      <w:r w:rsidR="009E141E">
        <w:t>enhancement of forest carbon stocks</w:t>
      </w:r>
      <w:r>
        <w:t xml:space="preserve">, </w:t>
      </w:r>
      <w:r w:rsidR="0040244E">
        <w:t xml:space="preserve">or afforestation, </w:t>
      </w:r>
      <w:r w:rsidRPr="00A63C5F">
        <w:t xml:space="preserve">defined </w:t>
      </w:r>
      <w:proofErr w:type="spellStart"/>
      <w:r w:rsidRPr="00A63C5F">
        <w:t>asthe</w:t>
      </w:r>
      <w:proofErr w:type="spellEnd"/>
      <w:r w:rsidRPr="00A63C5F">
        <w:t xml:space="preserve"> </w:t>
      </w:r>
      <w:r>
        <w:t xml:space="preserve">conversion of other land to forest land, including the restoration of degraded woodlands resulting in the </w:t>
      </w:r>
      <w:r w:rsidR="0040244E">
        <w:t xml:space="preserve">land transitioning </w:t>
      </w:r>
      <w:r>
        <w:t xml:space="preserve">above the thresholds of </w:t>
      </w:r>
      <w:r w:rsidR="00941782">
        <w:t xml:space="preserve">the </w:t>
      </w:r>
      <w:r>
        <w:t xml:space="preserve">forest </w:t>
      </w:r>
      <w:proofErr w:type="spellStart"/>
      <w:r>
        <w:t>definition.</w:t>
      </w:r>
      <w:r w:rsidR="00781AC9" w:rsidRPr="00886AB7">
        <w:t>Ethiopia</w:t>
      </w:r>
      <w:proofErr w:type="spellEnd"/>
      <w:r w:rsidR="00781AC9" w:rsidRPr="00886AB7">
        <w:t xml:space="preserve"> interprets the enhancement of forest carbon stocks as afforestation, defined as any land cover transition above the thresholds of its forest definition after the year 2000. The AT notes that this afforestation definition is not consistent with afforestation defined in the 2006 IPCC Guidelines as the direct human-induced conversion of land that has not been forested for a period of at least 50 years to forested land.</w:t>
      </w:r>
      <w:r w:rsidR="00781AC9">
        <w:t xml:space="preserve">  Ethiopia also</w:t>
      </w:r>
      <w:r w:rsidR="002144E6">
        <w:t xml:space="preserve"> does not require evidence of the land being in a non-forest land use prior to afforestation being detected. </w:t>
      </w:r>
    </w:p>
    <w:p w:rsidR="00C67630" w:rsidRPr="00694049" w:rsidRDefault="006A6824" w:rsidP="00F4398C">
      <w:pPr>
        <w:pStyle w:val="AnnoSingleTxtG"/>
        <w:rPr>
          <w:i/>
        </w:rPr>
      </w:pPr>
      <w:r>
        <w:t xml:space="preserve">Forest change </w:t>
      </w:r>
      <w:r w:rsidR="00027037">
        <w:t xml:space="preserve">(both gain and loss) </w:t>
      </w:r>
      <w:r w:rsidR="00477F41">
        <w:t>i</w:t>
      </w:r>
      <w:r>
        <w:t>s detected</w:t>
      </w:r>
      <w:r w:rsidR="005300A0">
        <w:t xml:space="preserve"> through supervised classification</w:t>
      </w:r>
      <w:r>
        <w:t xml:space="preserve"> using Landsat imagery</w:t>
      </w:r>
      <w:r w:rsidR="005300A0">
        <w:t xml:space="preserve">. The training dataset created by Ethiopia to </w:t>
      </w:r>
      <w:r w:rsidR="002144E6">
        <w:t>develop</w:t>
      </w:r>
      <w:r w:rsidR="005300A0">
        <w:t xml:space="preserve"> the supervised </w:t>
      </w:r>
      <w:r w:rsidR="00E73F78">
        <w:t xml:space="preserve">classification is based on </w:t>
      </w:r>
      <w:r w:rsidR="00E73F78">
        <w:rPr>
          <w:rFonts w:eastAsia="Times New Roman" w:cs="Segoe UI"/>
          <w:color w:val="000000"/>
          <w:szCs w:val="24"/>
          <w:lang w:eastAsia="en-GB"/>
        </w:rPr>
        <w:t xml:space="preserve">the Global Forest Change product </w:t>
      </w:r>
      <w:r w:rsidR="007250D3">
        <w:rPr>
          <w:rFonts w:eastAsia="Times New Roman" w:cs="Segoe UI"/>
          <w:color w:val="000000"/>
          <w:szCs w:val="24"/>
          <w:lang w:eastAsia="en-GB"/>
        </w:rPr>
        <w:t>(Hansen et al</w:t>
      </w:r>
      <w:r w:rsidR="003343F9">
        <w:rPr>
          <w:rFonts w:eastAsia="Times New Roman" w:cs="Segoe UI"/>
          <w:color w:val="000000"/>
          <w:szCs w:val="24"/>
          <w:lang w:eastAsia="en-GB"/>
        </w:rPr>
        <w:t>.</w:t>
      </w:r>
      <w:r w:rsidR="007250D3">
        <w:rPr>
          <w:rFonts w:eastAsia="Times New Roman" w:cs="Segoe UI"/>
          <w:color w:val="000000"/>
          <w:szCs w:val="24"/>
          <w:lang w:eastAsia="en-GB"/>
        </w:rPr>
        <w:t xml:space="preserve">, </w:t>
      </w:r>
      <w:r w:rsidR="00E73F78">
        <w:rPr>
          <w:rFonts w:eastAsia="Times New Roman" w:cs="Segoe UI"/>
          <w:color w:val="000000"/>
          <w:szCs w:val="24"/>
          <w:lang w:eastAsia="en-GB"/>
        </w:rPr>
        <w:t>2013</w:t>
      </w:r>
      <w:r w:rsidR="007250D3">
        <w:rPr>
          <w:rFonts w:eastAsia="Times New Roman" w:cs="Segoe UI"/>
          <w:color w:val="000000"/>
          <w:szCs w:val="24"/>
          <w:lang w:eastAsia="en-GB"/>
        </w:rPr>
        <w:t>)</w:t>
      </w:r>
      <w:r w:rsidR="003343F9" w:rsidRPr="004E038B">
        <w:rPr>
          <w:rStyle w:val="FootnoteReference"/>
        </w:rPr>
        <w:footnoteReference w:id="11"/>
      </w:r>
      <w:r w:rsidR="002144E6">
        <w:rPr>
          <w:rFonts w:eastAsia="Times New Roman" w:cs="Segoe UI"/>
          <w:color w:val="000000"/>
          <w:szCs w:val="24"/>
          <w:lang w:eastAsia="en-GB"/>
        </w:rPr>
        <w:t xml:space="preserve">which is </w:t>
      </w:r>
      <w:r w:rsidR="00E73F78">
        <w:rPr>
          <w:rFonts w:eastAsia="Times New Roman" w:cs="Segoe UI"/>
          <w:color w:val="000000"/>
          <w:szCs w:val="24"/>
          <w:lang w:eastAsia="en-GB"/>
        </w:rPr>
        <w:t>carefully assessed</w:t>
      </w:r>
      <w:r w:rsidR="00D53908">
        <w:rPr>
          <w:rFonts w:eastAsia="Times New Roman" w:cs="Segoe UI"/>
          <w:color w:val="000000"/>
          <w:szCs w:val="24"/>
          <w:lang w:eastAsia="en-GB"/>
        </w:rPr>
        <w:t xml:space="preserve"> and validated </w:t>
      </w:r>
      <w:r w:rsidR="00E73F78">
        <w:rPr>
          <w:rFonts w:eastAsia="Times New Roman" w:cs="Segoe UI"/>
          <w:color w:val="000000"/>
          <w:szCs w:val="24"/>
          <w:lang w:eastAsia="en-GB"/>
        </w:rPr>
        <w:t>by visual assessment using high</w:t>
      </w:r>
      <w:r w:rsidR="007250D3">
        <w:rPr>
          <w:rFonts w:eastAsia="Times New Roman" w:cs="Segoe UI"/>
          <w:color w:val="000000"/>
          <w:szCs w:val="24"/>
          <w:lang w:eastAsia="en-GB"/>
        </w:rPr>
        <w:t>er</w:t>
      </w:r>
      <w:r w:rsidR="00E73F78">
        <w:rPr>
          <w:rFonts w:eastAsia="Times New Roman" w:cs="Segoe UI"/>
          <w:color w:val="000000"/>
          <w:szCs w:val="24"/>
          <w:lang w:eastAsia="en-GB"/>
        </w:rPr>
        <w:t xml:space="preserve"> resolution imagery</w:t>
      </w:r>
      <w:r w:rsidR="00E73F78">
        <w:t xml:space="preserve">. </w:t>
      </w:r>
      <w:r w:rsidR="00F91686">
        <w:t xml:space="preserve">Sets of images were </w:t>
      </w:r>
      <w:proofErr w:type="spellStart"/>
      <w:r w:rsidR="00F91686">
        <w:t>compiled</w:t>
      </w:r>
      <w:r w:rsidR="00E73F78">
        <w:rPr>
          <w:rFonts w:eastAsia="Times New Roman" w:cs="Segoe UI"/>
          <w:color w:val="000000"/>
          <w:szCs w:val="24"/>
          <w:lang w:eastAsia="en-GB"/>
        </w:rPr>
        <w:t>controlling</w:t>
      </w:r>
      <w:proofErr w:type="spellEnd"/>
      <w:r w:rsidR="00E73F78">
        <w:rPr>
          <w:rFonts w:eastAsia="Times New Roman" w:cs="Segoe UI"/>
          <w:color w:val="000000"/>
          <w:szCs w:val="24"/>
          <w:lang w:eastAsia="en-GB"/>
        </w:rPr>
        <w:t xml:space="preserve"> phenology and cloud </w:t>
      </w:r>
      <w:proofErr w:type="spellStart"/>
      <w:r w:rsidR="00E73F78">
        <w:rPr>
          <w:rFonts w:eastAsia="Times New Roman" w:cs="Segoe UI"/>
          <w:color w:val="000000"/>
          <w:szCs w:val="24"/>
          <w:lang w:eastAsia="en-GB"/>
        </w:rPr>
        <w:t>cover</w:t>
      </w:r>
      <w:r w:rsidRPr="00A63C5F">
        <w:t>for</w:t>
      </w:r>
      <w:proofErr w:type="spellEnd"/>
      <w:r w:rsidRPr="00A63C5F">
        <w:t xml:space="preserve"> </w:t>
      </w:r>
      <w:r>
        <w:t xml:space="preserve">two </w:t>
      </w:r>
      <w:r w:rsidR="007577B9">
        <w:t xml:space="preserve">periods </w:t>
      </w:r>
      <w:r w:rsidR="002056AC">
        <w:t>(1997–2003 and 2010–</w:t>
      </w:r>
      <w:r w:rsidR="004D2CE5">
        <w:t>2015)</w:t>
      </w:r>
      <w:r>
        <w:t xml:space="preserve">in </w:t>
      </w:r>
      <w:r w:rsidR="004D2CE5">
        <w:t xml:space="preserve">order to complete </w:t>
      </w:r>
      <w:r w:rsidR="00D53908">
        <w:t>a single</w:t>
      </w:r>
      <w:r w:rsidR="004D2CE5">
        <w:t xml:space="preserve"> best </w:t>
      </w:r>
      <w:proofErr w:type="spellStart"/>
      <w:r w:rsidR="004D2CE5">
        <w:t>pixelmosaic</w:t>
      </w:r>
      <w:proofErr w:type="spellEnd"/>
      <w:r w:rsidR="00D53908">
        <w:t xml:space="preserve"> for each </w:t>
      </w:r>
      <w:r w:rsidR="00D53908">
        <w:rPr>
          <w:rFonts w:eastAsia="Times New Roman" w:cs="Segoe UI"/>
          <w:color w:val="000000"/>
          <w:szCs w:val="24"/>
          <w:lang w:eastAsia="en-GB"/>
        </w:rPr>
        <w:t>multiple temporal initial and final period time</w:t>
      </w:r>
      <w:r w:rsidR="00D53908">
        <w:t xml:space="preserve">; then the single mosaics </w:t>
      </w:r>
      <w:proofErr w:type="spellStart"/>
      <w:r w:rsidR="00D53908">
        <w:t>were</w:t>
      </w:r>
      <w:r w:rsidR="00E3101F">
        <w:t>arranged</w:t>
      </w:r>
      <w:r w:rsidR="00D53908">
        <w:t>into</w:t>
      </w:r>
      <w:proofErr w:type="spellEnd"/>
      <w:r w:rsidR="00D53908">
        <w:t xml:space="preserve"> </w:t>
      </w:r>
      <w:proofErr w:type="spellStart"/>
      <w:r w:rsidR="00D53908">
        <w:t>a</w:t>
      </w:r>
      <w:r w:rsidR="00361A82">
        <w:rPr>
          <w:rFonts w:eastAsia="Times New Roman" w:cs="Segoe UI"/>
          <w:color w:val="000000"/>
          <w:szCs w:val="24"/>
          <w:lang w:eastAsia="en-GB"/>
        </w:rPr>
        <w:t>multi</w:t>
      </w:r>
      <w:proofErr w:type="spellEnd"/>
      <w:r w:rsidR="00361A82">
        <w:rPr>
          <w:rFonts w:eastAsia="Times New Roman" w:cs="Segoe UI"/>
          <w:color w:val="000000"/>
          <w:szCs w:val="24"/>
          <w:lang w:eastAsia="en-GB"/>
        </w:rPr>
        <w:t xml:space="preserve">-temporal stack for detection of change between the two time </w:t>
      </w:r>
      <w:proofErr w:type="spellStart"/>
      <w:r w:rsidR="00361A82">
        <w:rPr>
          <w:rFonts w:eastAsia="Times New Roman" w:cs="Segoe UI"/>
          <w:color w:val="000000"/>
          <w:szCs w:val="24"/>
          <w:lang w:eastAsia="en-GB"/>
        </w:rPr>
        <w:t>periods.As</w:t>
      </w:r>
      <w:proofErr w:type="spellEnd"/>
      <w:r w:rsidR="00361A82">
        <w:rPr>
          <w:rFonts w:eastAsia="Times New Roman" w:cs="Segoe UI"/>
          <w:color w:val="000000"/>
          <w:szCs w:val="24"/>
          <w:lang w:eastAsia="en-GB"/>
        </w:rPr>
        <w:t xml:space="preserve"> described by Ethiopia, validated training points were used at the national scale to train and directly classify loss, gain and </w:t>
      </w:r>
      <w:r w:rsidR="00C67630">
        <w:rPr>
          <w:rFonts w:eastAsia="Times New Roman" w:cs="Segoe UI"/>
          <w:color w:val="000000"/>
          <w:szCs w:val="24"/>
          <w:lang w:eastAsia="en-GB"/>
        </w:rPr>
        <w:t>stable classes</w:t>
      </w:r>
      <w:r w:rsidR="00361A82">
        <w:rPr>
          <w:rFonts w:eastAsia="Times New Roman" w:cs="Segoe UI"/>
          <w:color w:val="000000"/>
          <w:szCs w:val="24"/>
          <w:lang w:eastAsia="en-GB"/>
        </w:rPr>
        <w:t xml:space="preserve"> from the mosaicked Landsat images using the Random Forest (RF) classifier </w:t>
      </w:r>
      <w:proofErr w:type="spellStart"/>
      <w:r w:rsidR="00361A82">
        <w:rPr>
          <w:rFonts w:eastAsia="Times New Roman" w:cs="Segoe UI"/>
          <w:color w:val="000000"/>
          <w:szCs w:val="24"/>
          <w:lang w:eastAsia="en-GB"/>
        </w:rPr>
        <w:t>algorithm.</w:t>
      </w:r>
      <w:r w:rsidR="00047DF6">
        <w:t>M</w:t>
      </w:r>
      <w:r w:rsidR="00C67630">
        <w:t>anual</w:t>
      </w:r>
      <w:proofErr w:type="spellEnd"/>
      <w:r w:rsidR="00C67630">
        <w:t xml:space="preserve"> </w:t>
      </w:r>
      <w:r w:rsidR="00C67630">
        <w:rPr>
          <w:rFonts w:eastAsia="Times New Roman" w:cs="Segoe UI"/>
          <w:color w:val="000000"/>
          <w:szCs w:val="24"/>
          <w:lang w:eastAsia="en-GB"/>
        </w:rPr>
        <w:t>editing was implemented</w:t>
      </w:r>
      <w:r w:rsidR="005568B7">
        <w:rPr>
          <w:rFonts w:eastAsia="Times New Roman" w:cs="Segoe UI"/>
          <w:color w:val="000000"/>
          <w:szCs w:val="24"/>
          <w:lang w:eastAsia="en-GB"/>
        </w:rPr>
        <w:t xml:space="preserve"> on the first semi-automated </w:t>
      </w:r>
      <w:proofErr w:type="spellStart"/>
      <w:r w:rsidR="005568B7">
        <w:rPr>
          <w:rFonts w:eastAsia="Times New Roman" w:cs="Segoe UI"/>
          <w:color w:val="000000"/>
          <w:szCs w:val="24"/>
          <w:lang w:eastAsia="en-GB"/>
        </w:rPr>
        <w:t>product</w:t>
      </w:r>
      <w:r w:rsidR="00E00BCE">
        <w:rPr>
          <w:rFonts w:eastAsia="Times New Roman" w:cs="Segoe UI"/>
          <w:color w:val="000000"/>
          <w:szCs w:val="24"/>
          <w:lang w:eastAsia="en-GB"/>
        </w:rPr>
        <w:t>by</w:t>
      </w:r>
      <w:proofErr w:type="spellEnd"/>
      <w:r w:rsidR="00E00BCE">
        <w:rPr>
          <w:rFonts w:eastAsia="Times New Roman" w:cs="Segoe UI"/>
          <w:color w:val="000000"/>
          <w:szCs w:val="24"/>
          <w:lang w:eastAsia="en-GB"/>
        </w:rPr>
        <w:t xml:space="preserve"> delineating false and missed changes using QGIS </w:t>
      </w:r>
      <w:r w:rsidR="00C67630">
        <w:rPr>
          <w:rFonts w:eastAsia="Times New Roman" w:cs="Segoe UI"/>
          <w:color w:val="000000"/>
          <w:szCs w:val="24"/>
          <w:lang w:eastAsia="en-GB"/>
        </w:rPr>
        <w:t xml:space="preserve">to correct the change detection </w:t>
      </w:r>
      <w:r w:rsidR="00C67630">
        <w:rPr>
          <w:rFonts w:eastAsia="Times New Roman" w:cs="Segoe UI"/>
          <w:color w:val="000000"/>
          <w:szCs w:val="24"/>
          <w:lang w:eastAsia="en-GB"/>
        </w:rPr>
        <w:lastRenderedPageBreak/>
        <w:t>product</w:t>
      </w:r>
      <w:r w:rsidR="00E00BCE">
        <w:rPr>
          <w:rFonts w:eastAsia="Times New Roman" w:cs="Segoe UI"/>
          <w:color w:val="000000"/>
          <w:szCs w:val="24"/>
          <w:lang w:eastAsia="en-GB"/>
        </w:rPr>
        <w:t>.</w:t>
      </w:r>
      <w:r w:rsidR="005568B7">
        <w:rPr>
          <w:rFonts w:eastAsia="Times New Roman" w:cs="Segoe UI"/>
          <w:color w:val="000000"/>
          <w:szCs w:val="24"/>
          <w:lang w:eastAsia="en-GB"/>
        </w:rPr>
        <w:t xml:space="preserve"> Finally an accuracy assessment was </w:t>
      </w:r>
      <w:r w:rsidR="005568B7" w:rsidRPr="005568B7">
        <w:rPr>
          <w:rFonts w:eastAsia="Times New Roman" w:cs="Segoe UI"/>
          <w:color w:val="000000"/>
          <w:lang w:eastAsia="en-GB"/>
        </w:rPr>
        <w:t xml:space="preserve">carried out </w:t>
      </w:r>
      <w:r w:rsidR="005568B7" w:rsidRPr="005568B7">
        <w:t xml:space="preserve">based on </w:t>
      </w:r>
      <w:r w:rsidR="002E1CB4">
        <w:t>g</w:t>
      </w:r>
      <w:r w:rsidR="005568B7" w:rsidRPr="005568B7">
        <w:t>ood practices for estimating area and assessing accuracy of land chang</w:t>
      </w:r>
      <w:r w:rsidR="005568B7">
        <w:t xml:space="preserve">e </w:t>
      </w:r>
      <w:r w:rsidR="00E3101F">
        <w:t xml:space="preserve">as </w:t>
      </w:r>
      <w:r w:rsidR="005568B7">
        <w:t xml:space="preserve">proposed by </w:t>
      </w:r>
      <w:proofErr w:type="spellStart"/>
      <w:r w:rsidR="005568B7" w:rsidRPr="005568B7">
        <w:t>Olofsson</w:t>
      </w:r>
      <w:r w:rsidR="000A2BCE">
        <w:t>et</w:t>
      </w:r>
      <w:proofErr w:type="spellEnd"/>
      <w:r w:rsidR="000A2BCE">
        <w:t xml:space="preserve"> al</w:t>
      </w:r>
      <w:r w:rsidR="003343F9">
        <w:t>.</w:t>
      </w:r>
      <w:r w:rsidR="00E5030B">
        <w:t>(</w:t>
      </w:r>
      <w:r w:rsidR="005568B7" w:rsidRPr="005568B7">
        <w:t>2014</w:t>
      </w:r>
      <w:r w:rsidR="00E5030B">
        <w:t>)</w:t>
      </w:r>
      <w:r w:rsidR="005568B7">
        <w:t>.</w:t>
      </w:r>
      <w:r w:rsidR="003343F9">
        <w:rPr>
          <w:rStyle w:val="FootnoteReference"/>
        </w:rPr>
        <w:footnoteReference w:id="12"/>
      </w:r>
    </w:p>
    <w:p w:rsidR="00E33FC7" w:rsidRPr="008C74CF" w:rsidRDefault="000B1A02" w:rsidP="00F4398C">
      <w:pPr>
        <w:pStyle w:val="AnnoSingleTxtG"/>
        <w:rPr>
          <w:i/>
        </w:rPr>
      </w:pPr>
      <w:r w:rsidRPr="005D49CD">
        <w:rPr>
          <w:rFonts w:eastAsia="Times New Roman" w:cs="Segoe UI"/>
          <w:color w:val="000000"/>
          <w:szCs w:val="24"/>
          <w:lang w:eastAsia="en-GB"/>
        </w:rPr>
        <w:t xml:space="preserve">The </w:t>
      </w:r>
      <w:r w:rsidR="00E6126B" w:rsidRPr="005D49CD">
        <w:rPr>
          <w:rFonts w:eastAsia="Times New Roman" w:cs="Segoe UI"/>
          <w:color w:val="000000"/>
          <w:szCs w:val="24"/>
          <w:lang w:eastAsia="en-GB"/>
        </w:rPr>
        <w:t xml:space="preserve">activity </w:t>
      </w:r>
      <w:proofErr w:type="spellStart"/>
      <w:r w:rsidRPr="005D49CD">
        <w:rPr>
          <w:rFonts w:eastAsia="Times New Roman" w:cs="Segoe UI"/>
          <w:color w:val="000000"/>
          <w:szCs w:val="24"/>
          <w:lang w:eastAsia="en-GB"/>
        </w:rPr>
        <w:t>data</w:t>
      </w:r>
      <w:r w:rsidR="005D49CD" w:rsidRPr="005D49CD">
        <w:rPr>
          <w:rFonts w:eastAsia="Times New Roman" w:cs="Segoe UI"/>
          <w:color w:val="000000"/>
          <w:szCs w:val="24"/>
          <w:lang w:eastAsia="en-GB"/>
        </w:rPr>
        <w:t>,</w:t>
      </w:r>
      <w:r w:rsidR="005D49CD">
        <w:t>referred</w:t>
      </w:r>
      <w:proofErr w:type="spellEnd"/>
      <w:r w:rsidR="005D49CD">
        <w:t xml:space="preserve"> to as adjusted change areas </w:t>
      </w:r>
      <w:proofErr w:type="spellStart"/>
      <w:r w:rsidR="005D49CD">
        <w:t>estimates,</w:t>
      </w:r>
      <w:r w:rsidRPr="005D49CD">
        <w:rPr>
          <w:rFonts w:eastAsia="Times New Roman" w:cs="Segoe UI"/>
          <w:color w:val="000000"/>
          <w:szCs w:val="24"/>
          <w:lang w:eastAsia="en-GB"/>
        </w:rPr>
        <w:t>consist</w:t>
      </w:r>
      <w:proofErr w:type="spellEnd"/>
      <w:r w:rsidRPr="005D49CD">
        <w:rPr>
          <w:rFonts w:eastAsia="Times New Roman" w:cs="Segoe UI"/>
          <w:color w:val="000000"/>
          <w:szCs w:val="24"/>
          <w:lang w:eastAsia="en-GB"/>
        </w:rPr>
        <w:t xml:space="preserve"> of </w:t>
      </w:r>
      <w:r w:rsidR="00694049" w:rsidRPr="005D49CD">
        <w:rPr>
          <w:rFonts w:eastAsia="Times New Roman" w:cs="Segoe UI"/>
          <w:color w:val="000000"/>
          <w:szCs w:val="24"/>
          <w:lang w:eastAsia="en-GB"/>
        </w:rPr>
        <w:t xml:space="preserve">new </w:t>
      </w:r>
      <w:r w:rsidRPr="005D49CD">
        <w:rPr>
          <w:rFonts w:eastAsia="Times New Roman" w:cs="Segoe UI"/>
          <w:color w:val="000000"/>
          <w:szCs w:val="24"/>
          <w:lang w:eastAsia="en-GB"/>
        </w:rPr>
        <w:t>estimated</w:t>
      </w:r>
      <w:r w:rsidR="00694049" w:rsidRPr="005D49CD">
        <w:rPr>
          <w:lang w:val="en-US"/>
        </w:rPr>
        <w:t>area per class (forest loss, gain, stable forest and stable non-forest) resulting from the use of an error matrix</w:t>
      </w:r>
      <w:r w:rsidR="006B00A1">
        <w:rPr>
          <w:lang w:val="en-US"/>
        </w:rPr>
        <w:t>,</w:t>
      </w:r>
      <w:r w:rsidR="000D7FB4">
        <w:t xml:space="preserve">created </w:t>
      </w:r>
      <w:r w:rsidR="009E4BC1">
        <w:t>to correct</w:t>
      </w:r>
      <w:r w:rsidR="00694049" w:rsidRPr="005D49CD">
        <w:rPr>
          <w:lang w:val="en-US"/>
        </w:rPr>
        <w:t xml:space="preserve">the </w:t>
      </w:r>
      <w:r w:rsidR="005D49CD">
        <w:rPr>
          <w:lang w:val="en-US"/>
        </w:rPr>
        <w:t>estimations</w:t>
      </w:r>
      <w:r w:rsidR="009E4BC1">
        <w:t xml:space="preserve"> for </w:t>
      </w:r>
      <w:r w:rsidR="00E00BCE">
        <w:t xml:space="preserve">the </w:t>
      </w:r>
      <w:proofErr w:type="spellStart"/>
      <w:r w:rsidR="00E00BCE">
        <w:t>map</w:t>
      </w:r>
      <w:r w:rsidR="009E4BC1">
        <w:t>bias</w:t>
      </w:r>
      <w:proofErr w:type="spellEnd"/>
      <w:r w:rsidR="009E4BC1">
        <w:t>.</w:t>
      </w:r>
      <w:r w:rsidR="005D49CD">
        <w:rPr>
          <w:lang w:val="en-US"/>
        </w:rPr>
        <w:t xml:space="preserve">Map classification errors were identified by collecting sample point data and the summarized </w:t>
      </w:r>
      <w:r w:rsidR="006B00A1">
        <w:rPr>
          <w:lang w:val="en-US"/>
        </w:rPr>
        <w:t xml:space="preserve">results used to populate </w:t>
      </w:r>
      <w:r w:rsidR="005D49CD">
        <w:rPr>
          <w:lang w:val="en-US"/>
        </w:rPr>
        <w:t>the error matrix. The sample data verifies whether map classification is correct or incorrect at the location of the sample points</w:t>
      </w:r>
      <w:r w:rsidR="00B92997">
        <w:rPr>
          <w:lang w:val="en-US"/>
        </w:rPr>
        <w:t xml:space="preserve"> by visual interpretation of the point using high resolution imagery or when not available by interpretation of </w:t>
      </w:r>
      <w:r w:rsidR="00C9623A">
        <w:rPr>
          <w:lang w:val="en-US"/>
        </w:rPr>
        <w:t>L</w:t>
      </w:r>
      <w:r w:rsidR="00B92997">
        <w:rPr>
          <w:lang w:val="en-US"/>
        </w:rPr>
        <w:t>andsat imagery</w:t>
      </w:r>
      <w:r w:rsidR="00C9623A">
        <w:rPr>
          <w:lang w:val="en-US"/>
        </w:rPr>
        <w:t xml:space="preserve"> by remote sensing experts</w:t>
      </w:r>
      <w:r w:rsidR="00B92997">
        <w:rPr>
          <w:lang w:val="en-US"/>
        </w:rPr>
        <w:t>.</w:t>
      </w:r>
    </w:p>
    <w:p w:rsidR="00F9337C" w:rsidRPr="005D49CD" w:rsidRDefault="004473E6" w:rsidP="00F4398C">
      <w:pPr>
        <w:pStyle w:val="AnnoSingleTxtG"/>
        <w:rPr>
          <w:i/>
        </w:rPr>
      </w:pPr>
      <w:r>
        <w:t>E</w:t>
      </w:r>
      <w:r w:rsidR="00477F41">
        <w:t xml:space="preserve">mission factors </w:t>
      </w:r>
      <w:r>
        <w:t>are</w:t>
      </w:r>
      <w:r w:rsidR="00F032FD" w:rsidRPr="00A63C5F">
        <w:t xml:space="preserve"> obtained from E</w:t>
      </w:r>
      <w:r w:rsidR="00F032FD">
        <w:t>thiopia’s</w:t>
      </w:r>
      <w:r>
        <w:t xml:space="preserve"> NFI</w:t>
      </w:r>
      <w:r w:rsidR="00F032FD" w:rsidRPr="00A63C5F">
        <w:t>.</w:t>
      </w:r>
      <w:r>
        <w:t xml:space="preserve"> The NFI</w:t>
      </w:r>
      <w:r w:rsidR="009E4BC1">
        <w:t xml:space="preserve"> h</w:t>
      </w:r>
      <w:r>
        <w:t>as a stratified sampling design</w:t>
      </w:r>
      <w:r w:rsidR="009E4BC1">
        <w:t xml:space="preserve"> based on Agro ecological zones. Ground plot data are collected in a nested </w:t>
      </w:r>
      <w:r w:rsidR="000A2BCE">
        <w:t xml:space="preserve">plot </w:t>
      </w:r>
      <w:r w:rsidR="009E4BC1">
        <w:t>design</w:t>
      </w:r>
      <w:r w:rsidR="00CD2E4E">
        <w:t xml:space="preserve">. </w:t>
      </w:r>
      <w:r w:rsidR="00C8719E">
        <w:t xml:space="preserve">At the time of this submission, only the data </w:t>
      </w:r>
      <w:r w:rsidR="00F7055E">
        <w:t xml:space="preserve">for the </w:t>
      </w:r>
      <w:proofErr w:type="spellStart"/>
      <w:r w:rsidR="00F7055E">
        <w:t>Oromia</w:t>
      </w:r>
      <w:proofErr w:type="spellEnd"/>
      <w:r w:rsidR="00F7055E">
        <w:t xml:space="preserve"> </w:t>
      </w:r>
      <w:r w:rsidR="000A2BCE">
        <w:t>R</w:t>
      </w:r>
      <w:r w:rsidR="00F7055E">
        <w:t xml:space="preserve">egion had been </w:t>
      </w:r>
      <w:r w:rsidR="00C8719E">
        <w:t xml:space="preserve">collected </w:t>
      </w:r>
      <w:r w:rsidR="00F7055E">
        <w:t>and analysed. The curr</w:t>
      </w:r>
      <w:r>
        <w:t>ent submission therefore applies</w:t>
      </w:r>
      <w:r w:rsidR="00F7055E">
        <w:t xml:space="preserve"> interim emission factors </w:t>
      </w:r>
      <w:r>
        <w:t xml:space="preserve">and </w:t>
      </w:r>
      <w:r w:rsidR="006828B3">
        <w:t xml:space="preserve">these will replaced with national emission factors </w:t>
      </w:r>
      <w:r w:rsidR="003F61B4">
        <w:t>over time</w:t>
      </w:r>
      <w:r>
        <w:t>,</w:t>
      </w:r>
      <w:r w:rsidR="006828B3">
        <w:t xml:space="preserve"> once the NFI has been completed and the data </w:t>
      </w:r>
      <w:r w:rsidR="0072390F">
        <w:t xml:space="preserve">have been </w:t>
      </w:r>
      <w:r w:rsidR="006828B3">
        <w:t>analysed.</w:t>
      </w:r>
    </w:p>
    <w:p w:rsidR="002B148E" w:rsidRPr="00993EBF" w:rsidRDefault="0076509D" w:rsidP="00993EBF">
      <w:pPr>
        <w:pStyle w:val="RegH23G"/>
      </w:pPr>
      <w:bookmarkStart w:id="17" w:name="_Toc404864969"/>
      <w:r w:rsidRPr="00993EBF">
        <w:t>Transparency</w:t>
      </w:r>
      <w:r w:rsidR="002B148E" w:rsidRPr="00993EBF">
        <w:t>, complete</w:t>
      </w:r>
      <w:r w:rsidRPr="00993EBF">
        <w:t>ness</w:t>
      </w:r>
      <w:r w:rsidR="002B148E" w:rsidRPr="00993EBF">
        <w:t>, consisten</w:t>
      </w:r>
      <w:r w:rsidRPr="00993EBF">
        <w:t>cy</w:t>
      </w:r>
      <w:r w:rsidR="002B148E" w:rsidRPr="00993EBF">
        <w:t xml:space="preserve"> and accura</w:t>
      </w:r>
      <w:r w:rsidRPr="00993EBF">
        <w:t>cy of the</w:t>
      </w:r>
      <w:r w:rsidR="002B148E" w:rsidRPr="00993EBF">
        <w:t xml:space="preserve"> information used in the construction of the forest refe</w:t>
      </w:r>
      <w:r w:rsidRPr="00993EBF">
        <w:t>rence emission level</w:t>
      </w:r>
      <w:bookmarkEnd w:id="17"/>
    </w:p>
    <w:p w:rsidR="002B148E" w:rsidRPr="00993EBF" w:rsidRDefault="002B148E" w:rsidP="002B148E">
      <w:pPr>
        <w:pStyle w:val="RegSingleTxtG"/>
        <w:numPr>
          <w:ilvl w:val="0"/>
          <w:numId w:val="0"/>
        </w:numPr>
        <w:ind w:left="1135"/>
        <w:rPr>
          <w:u w:val="single"/>
        </w:rPr>
      </w:pPr>
      <w:r w:rsidRPr="00993EBF">
        <w:rPr>
          <w:u w:val="single"/>
        </w:rPr>
        <w:t>Methodological information, including description of data sets, approaches and methods</w:t>
      </w:r>
    </w:p>
    <w:p w:rsidR="007D4038" w:rsidRDefault="007D4038" w:rsidP="00F4398C">
      <w:pPr>
        <w:pStyle w:val="AnnoSingleTxtG"/>
      </w:pPr>
      <w:r>
        <w:t xml:space="preserve">Ethiopia has created </w:t>
      </w:r>
      <w:r w:rsidR="00447726">
        <w:t xml:space="preserve">a </w:t>
      </w:r>
      <w:r>
        <w:t xml:space="preserve">land use/land cover map for 2013, </w:t>
      </w:r>
      <w:r w:rsidR="00F40EB9">
        <w:t xml:space="preserve">but </w:t>
      </w:r>
      <w:r>
        <w:t>th</w:t>
      </w:r>
      <w:r w:rsidR="00447726">
        <w:t>is</w:t>
      </w:r>
      <w:r w:rsidR="00F40EB9">
        <w:t xml:space="preserve"> map</w:t>
      </w:r>
      <w:r>
        <w:t xml:space="preserve"> ha</w:t>
      </w:r>
      <w:r w:rsidR="00447726">
        <w:t>s</w:t>
      </w:r>
      <w:r>
        <w:t xml:space="preserve"> not been used to detect forest change</w:t>
      </w:r>
      <w:r w:rsidR="00447726">
        <w:t xml:space="preserve">. </w:t>
      </w:r>
      <w:r w:rsidR="00F40EB9">
        <w:t>Original i</w:t>
      </w:r>
      <w:r w:rsidR="00447726">
        <w:t>mages are used to detect forest change</w:t>
      </w:r>
      <w:r>
        <w:t xml:space="preserve"> between 2000 and 2013, as maps do not have sufficient accuracy to derive change. To estimate the area of deforestation and afforestation that occurred between 2000 and 2013, Ethiopia </w:t>
      </w:r>
      <w:r w:rsidR="008C74CF">
        <w:t>directly classif</w:t>
      </w:r>
      <w:r w:rsidR="008513F4">
        <w:t>ies</w:t>
      </w:r>
      <w:r w:rsidR="008C74CF">
        <w:t xml:space="preserve"> loss, gain and stable </w:t>
      </w:r>
      <w:r w:rsidR="008C74CF" w:rsidRPr="00696BFE">
        <w:t>classes</w:t>
      </w:r>
      <w:r w:rsidR="00E33FC7" w:rsidRPr="00696BFE">
        <w:t xml:space="preserve"> (see paragraph </w:t>
      </w:r>
      <w:r w:rsidR="002056AC">
        <w:t>15</w:t>
      </w:r>
      <w:r w:rsidR="002056AC" w:rsidRPr="00E54A28">
        <w:t>–</w:t>
      </w:r>
      <w:r w:rsidR="00696BFE" w:rsidRPr="00696BFE">
        <w:t>16</w:t>
      </w:r>
      <w:r w:rsidR="00E33FC7" w:rsidRPr="00696BFE">
        <w:t>)</w:t>
      </w:r>
      <w:r w:rsidRPr="00696BFE">
        <w:t>.</w:t>
      </w:r>
      <w:r w:rsidR="000A2BCE">
        <w:t>Ethiopia</w:t>
      </w:r>
      <w:r>
        <w:t xml:space="preserve"> then adjusts for bias by performing an accuracy assessment of the classification using higher resolution imagery following accuracy assessment guide</w:t>
      </w:r>
      <w:r w:rsidR="000A2BCE">
        <w:t>line</w:t>
      </w:r>
      <w:r>
        <w:t>s (</w:t>
      </w:r>
      <w:proofErr w:type="spellStart"/>
      <w:r>
        <w:t>Olofsson</w:t>
      </w:r>
      <w:proofErr w:type="spellEnd"/>
      <w:r>
        <w:t xml:space="preserve"> et al, 2014</w:t>
      </w:r>
      <w:r w:rsidR="00D46F10">
        <w:t>;</w:t>
      </w:r>
      <w:r>
        <w:t xml:space="preserve"> FAO, 2016</w:t>
      </w:r>
      <w:r w:rsidR="00734266">
        <w:rPr>
          <w:rStyle w:val="FootnoteReference"/>
        </w:rPr>
        <w:footnoteReference w:id="13"/>
      </w:r>
      <w:r>
        <w:t xml:space="preserve">). </w:t>
      </w:r>
      <w:r w:rsidR="0072390F">
        <w:t>F</w:t>
      </w:r>
      <w:r w:rsidR="00401B41">
        <w:t>or the forest loss class (deforestation) user</w:t>
      </w:r>
      <w:r w:rsidR="00622F1F">
        <w:t>’</w:t>
      </w:r>
      <w:r w:rsidR="00401B41">
        <w:t>s</w:t>
      </w:r>
      <w:r w:rsidR="0077617C">
        <w:t xml:space="preserve"> and producer’s</w:t>
      </w:r>
      <w:r w:rsidR="00401B41">
        <w:t xml:space="preserve"> accuracy</w:t>
      </w:r>
      <w:r w:rsidR="0077617C">
        <w:t xml:space="preserve"> are 16% and 56% respectively and for the forest gain class (enhancement of forest carbon stocks) user</w:t>
      </w:r>
      <w:r w:rsidR="00622F1F">
        <w:t>’</w:t>
      </w:r>
      <w:r w:rsidR="0077617C">
        <w:t xml:space="preserve">s and producer’s accuracy are 18% and 79% respectively. </w:t>
      </w:r>
      <w:r>
        <w:t>The change map is overlaid wi</w:t>
      </w:r>
      <w:r w:rsidR="007E1B48">
        <w:t xml:space="preserve">th </w:t>
      </w:r>
      <w:r w:rsidR="00D46F10">
        <w:t xml:space="preserve">the map of Ethiopia’s </w:t>
      </w:r>
      <w:r w:rsidR="007E1B48">
        <w:t>biomes</w:t>
      </w:r>
      <w:r>
        <w:t xml:space="preserve"> and the gain and loss per biome is then adjusted based on the accuracy </w:t>
      </w:r>
      <w:proofErr w:type="spellStart"/>
      <w:r>
        <w:t>assessment.During</w:t>
      </w:r>
      <w:proofErr w:type="spellEnd"/>
      <w:r>
        <w:t xml:space="preserve"> the TA, Ethiopia provided additional supporting material to explain the process. </w:t>
      </w:r>
      <w:r w:rsidRPr="00E00A92">
        <w:t xml:space="preserve">The AT </w:t>
      </w:r>
      <w:r>
        <w:t xml:space="preserve">commends Ethiopia for providing this information and </w:t>
      </w:r>
      <w:r w:rsidRPr="00E00A92">
        <w:t>considers th</w:t>
      </w:r>
      <w:r>
        <w:t xml:space="preserve">at </w:t>
      </w:r>
      <w:r w:rsidR="00622F1F">
        <w:t>including this</w:t>
      </w:r>
      <w:r>
        <w:t xml:space="preserve"> additional information </w:t>
      </w:r>
      <w:r w:rsidR="008513F4">
        <w:t xml:space="preserve">would </w:t>
      </w:r>
      <w:r>
        <w:t xml:space="preserve">considerably </w:t>
      </w:r>
      <w:r w:rsidRPr="00E00A92">
        <w:t xml:space="preserve">increase the transparency of </w:t>
      </w:r>
      <w:r w:rsidR="008513F4">
        <w:t>future</w:t>
      </w:r>
      <w:r w:rsidRPr="00E00A92">
        <w:t xml:space="preserve"> submission</w:t>
      </w:r>
      <w:r w:rsidR="00E3101F">
        <w:t>s</w:t>
      </w:r>
      <w:r w:rsidRPr="00E00A92">
        <w:t>.</w:t>
      </w:r>
    </w:p>
    <w:p w:rsidR="003A54D0" w:rsidRDefault="003A54D0" w:rsidP="00F4398C">
      <w:pPr>
        <w:pStyle w:val="AnnoSingleTxtG"/>
      </w:pPr>
      <w:r w:rsidRPr="00E54A28">
        <w:t>According to decision 4</w:t>
      </w:r>
      <w:r>
        <w:t>/</w:t>
      </w:r>
      <w:r w:rsidRPr="00E54A28">
        <w:t xml:space="preserve">CP.15 Countries should provide estimates that are as far as possible accurate and that reduce uncertainties, taking into account national capabilities and </w:t>
      </w:r>
      <w:proofErr w:type="spellStart"/>
      <w:r w:rsidRPr="00E54A28">
        <w:t>capacities.Ethiopia</w:t>
      </w:r>
      <w:proofErr w:type="spellEnd"/>
      <w:r w:rsidRPr="00E54A28">
        <w:t xml:space="preserve"> provides an error matrix of the forest change map 2000–2013 which shows user’s accuracy of 16% and 18% for both forest loss and forest gain classes respectively; and a producer’s accuracy of 56% and 79 % for forest loss and forest gain </w:t>
      </w:r>
      <w:r>
        <w:t xml:space="preserve">classes </w:t>
      </w:r>
      <w:proofErr w:type="spellStart"/>
      <w:r w:rsidRPr="00E54A28">
        <w:t>respectively.The</w:t>
      </w:r>
      <w:proofErr w:type="spellEnd"/>
      <w:r w:rsidRPr="00E54A28">
        <w:t xml:space="preserve"> AT noted that the error matrix constructed by Ethiopia </w:t>
      </w:r>
      <w:r>
        <w:t>provides</w:t>
      </w:r>
      <w:r w:rsidRPr="00E54A28">
        <w:t xml:space="preserve"> not only the accuracy of the map, but </w:t>
      </w:r>
      <w:r>
        <w:t>enough information</w:t>
      </w:r>
      <w:r w:rsidRPr="00E54A28">
        <w:t xml:space="preserve"> to assess which </w:t>
      </w:r>
      <w:r>
        <w:t>classes</w:t>
      </w:r>
      <w:r w:rsidRPr="00E54A28">
        <w:t xml:space="preserve"> are easily confounded with each other</w:t>
      </w:r>
      <w:r>
        <w:t>,</w:t>
      </w:r>
      <w:r w:rsidRPr="00E54A28">
        <w:t xml:space="preserve"> therefore </w:t>
      </w:r>
      <w:r>
        <w:t xml:space="preserve">it </w:t>
      </w:r>
      <w:r w:rsidRPr="00E54A28">
        <w:t>can also be use</w:t>
      </w:r>
      <w:r>
        <w:t>d</w:t>
      </w:r>
      <w:r w:rsidRPr="00E54A28">
        <w:t xml:space="preserve"> to improve classification accuracy, following the good practice </w:t>
      </w:r>
      <w:r>
        <w:t>of</w:t>
      </w:r>
      <w:r w:rsidRPr="00E54A28">
        <w:t xml:space="preserve"> reduc</w:t>
      </w:r>
      <w:r>
        <w:t>ing</w:t>
      </w:r>
      <w:r w:rsidRPr="00E54A28">
        <w:t xml:space="preserve"> uncertainties so far as practicable, </w:t>
      </w:r>
      <w:r>
        <w:t xml:space="preserve">instead </w:t>
      </w:r>
      <w:r>
        <w:lastRenderedPageBreak/>
        <w:t xml:space="preserve">of going </w:t>
      </w:r>
      <w:r w:rsidRPr="00E54A28">
        <w:t xml:space="preserve">directly </w:t>
      </w:r>
      <w:r>
        <w:t xml:space="preserve">to </w:t>
      </w:r>
      <w:r w:rsidRPr="00E54A28">
        <w:t>the procedures to adjust estimates of areas.</w:t>
      </w:r>
      <w:r>
        <w:t xml:space="preserve"> The AT suggests this analysis as an area of technical improvement.</w:t>
      </w:r>
    </w:p>
    <w:p w:rsidR="00FD70A6" w:rsidRDefault="00FD70A6" w:rsidP="00F4398C">
      <w:pPr>
        <w:pStyle w:val="AnnoSingleTxtG"/>
      </w:pPr>
      <w:r>
        <w:t xml:space="preserve">One of the challenges with the methodologies applied is that the presence or absence of tree cover does not necessarily correspond to deforestation (as it may be temporary loss of tree cover due to harvest or natural disturbance) or afforestation, and therefore auxiliary data are necessary. In particular, it is helpful to have information on the spatial extent of plantation forests that are subject to periodic harvesting or areas subject to natural disturbance events so that those areas are not necessarily considered deforested when identified as destocked, unless there has been evidence of a subsequent land use change. </w:t>
      </w:r>
      <w:r w:rsidR="00F40EB9">
        <w:t xml:space="preserve">Distinguishing where forest cover is lost temporarily due to natural disturbance, from areas where forest cover loss is permanent is not the subject of improvement work and is therefore currently not scheduled. The AT considers that in future submissions Ethiopia could </w:t>
      </w:r>
      <w:r w:rsidR="00F40EB9" w:rsidRPr="00993EBF">
        <w:t>p</w:t>
      </w:r>
      <w:r w:rsidR="00F40EB9">
        <w:t xml:space="preserve">rovide information showing that these potential sources of error have been accounted for and that the area of deforestation therefore has not been over estimated. </w:t>
      </w:r>
      <w:r>
        <w:t xml:space="preserve">In response to a question from the AT, Ethiopia advised that currently, they are unable to separate planted from natural forests. Ethiopia also advised that the first draft of Land Use Land Cover map will have data separating planted from natural forests. The AT commends Ethiopia for continuing to work on improving its activity data and noting it as an area for future technical improvement. </w:t>
      </w:r>
    </w:p>
    <w:p w:rsidR="00F40EB9" w:rsidRDefault="00F40EB9" w:rsidP="00F4398C">
      <w:pPr>
        <w:pStyle w:val="AnnoSingleTxtG"/>
      </w:pPr>
      <w:r>
        <w:t xml:space="preserve">In its submission, Ethiopia provided national forest loss and gain estimates by biome. During the technical assessment, in response to questions raised by the AT requesting more disaggregated data, Ethiopia provided the activity data for the </w:t>
      </w:r>
      <w:proofErr w:type="spellStart"/>
      <w:r>
        <w:t>Oromia</w:t>
      </w:r>
      <w:proofErr w:type="spellEnd"/>
      <w:r>
        <w:t xml:space="preserve"> Region, and informed the AT that currently further disaggregation is not possible. The AT commends Ethiopia for providing the additional information. The AT notes that the national change estimates by biome are based on the </w:t>
      </w:r>
      <w:proofErr w:type="spellStart"/>
      <w:r>
        <w:t>Oromia</w:t>
      </w:r>
      <w:proofErr w:type="spellEnd"/>
      <w:r>
        <w:t xml:space="preserve"> Region which is not representative of the entire country. The AT commends Ethiopia for continuing to work on improving its activity data, noting it as an area for future technical improvement.</w:t>
      </w:r>
    </w:p>
    <w:p w:rsidR="003E3118" w:rsidRDefault="00457FEF" w:rsidP="002B3DAD">
      <w:pPr>
        <w:pStyle w:val="AnnoSingleTxtG"/>
      </w:pPr>
      <w:r w:rsidRPr="00B97CFB">
        <w:t xml:space="preserve">To estimate emissions and removals on land converted to forest land, Ethiopia applies the removal of the full carbon stock in a single year. Ethiopia acknowledges this method may over estimate removals corresponding to the early years of forest growth but that this may be compensated for by the time it takes to detect new forests. According to IPCC default factors, it looks improbable that the carbon density in biomes that have vegetation at the maximum age of 13 years (the historical forest change period) will have reached the full carbon stock as assumed in the submission. For example the emission factor for the Above Ground Biomass (AGB) pool for the Dry </w:t>
      </w:r>
      <w:proofErr w:type="spellStart"/>
      <w:r w:rsidRPr="00B97CFB">
        <w:t>Afromontane</w:t>
      </w:r>
      <w:proofErr w:type="spellEnd"/>
      <w:r w:rsidRPr="00B97CFB">
        <w:t xml:space="preserve"> biome is 57.64 </w:t>
      </w:r>
      <w:proofErr w:type="spellStart"/>
      <w:r w:rsidRPr="00B97CFB">
        <w:t>tC</w:t>
      </w:r>
      <w:proofErr w:type="spellEnd"/>
      <w:r w:rsidRPr="00B97CFB">
        <w:t xml:space="preserve">/ha while the IPCC default for Tropical dry forest at age 13 is 15.6 </w:t>
      </w:r>
      <w:proofErr w:type="spellStart"/>
      <w:r w:rsidRPr="00B97CFB">
        <w:t>tC</w:t>
      </w:r>
      <w:proofErr w:type="spellEnd"/>
      <w:r w:rsidRPr="00B97CFB">
        <w:t xml:space="preserve">/ha. For the Moist </w:t>
      </w:r>
      <w:proofErr w:type="spellStart"/>
      <w:r w:rsidRPr="00B97CFB">
        <w:t>Afromontane</w:t>
      </w:r>
      <w:proofErr w:type="spellEnd"/>
      <w:r w:rsidRPr="00B97CFB">
        <w:t xml:space="preserve"> biome, the AGB pool is 101.88 </w:t>
      </w:r>
      <w:proofErr w:type="spellStart"/>
      <w:r w:rsidRPr="00B97CFB">
        <w:t>tC</w:t>
      </w:r>
      <w:proofErr w:type="spellEnd"/>
      <w:r w:rsidRPr="00B97CFB">
        <w:t xml:space="preserve">/ha while the IPCC defaults for 13 year old forests are 22.75 </w:t>
      </w:r>
      <w:proofErr w:type="spellStart"/>
      <w:r w:rsidRPr="00B97CFB">
        <w:t>tC</w:t>
      </w:r>
      <w:proofErr w:type="spellEnd"/>
      <w:r w:rsidRPr="00B97CFB">
        <w:t xml:space="preserve">/ha for tropical mountain systems and 35 </w:t>
      </w:r>
      <w:proofErr w:type="spellStart"/>
      <w:r w:rsidRPr="00B97CFB">
        <w:t>tC</w:t>
      </w:r>
      <w:proofErr w:type="spellEnd"/>
      <w:r w:rsidRPr="00B97CFB">
        <w:t>/ha for tropical moist deciduous forests. To avoid the over/under estimation of emissions and removals, as far as possible, Ethiopia could consider using an EF for the Forest Reference Level for Afforestation as recommended by 2006 IPCC guidelines, that is to apply annual change estimates, or estimate an EF from a subset of NFI that represent in a more accurate manner the stock of carbon for biomes up to 13 years old. The AT notes this as an area for future technical improvement.</w:t>
      </w:r>
    </w:p>
    <w:p w:rsidR="00457FEF" w:rsidRPr="00106623" w:rsidRDefault="00457FEF" w:rsidP="002B3DAD">
      <w:pPr>
        <w:pStyle w:val="AnnoSingleTxtG"/>
      </w:pPr>
      <w:r w:rsidRPr="00106623">
        <w:t xml:space="preserve">Ethiopia </w:t>
      </w:r>
      <w:r>
        <w:t xml:space="preserve">has designed and implemented a national Forest and Landscape Inventory (NFI) that applies systematic sampling within five strata. In response to a question from the AT, Ethiopia </w:t>
      </w:r>
      <w:r w:rsidRPr="00106623">
        <w:t xml:space="preserve">provided </w:t>
      </w:r>
      <w:r>
        <w:t xml:space="preserve">the </w:t>
      </w:r>
      <w:r w:rsidRPr="00106623">
        <w:t xml:space="preserve">sampling distribution and intensity information for </w:t>
      </w:r>
      <w:r>
        <w:t xml:space="preserve">the </w:t>
      </w:r>
      <w:r w:rsidRPr="00106623">
        <w:t xml:space="preserve">strata and </w:t>
      </w:r>
      <w:proofErr w:type="spellStart"/>
      <w:r w:rsidRPr="00106623">
        <w:t>biomes</w:t>
      </w:r>
      <w:r>
        <w:t>.Ethiopia</w:t>
      </w:r>
      <w:proofErr w:type="spellEnd"/>
      <w:r>
        <w:t xml:space="preserve"> advised the AT that the strata were identified using agro ecological zones, a potential vegetation map and forest cover data, also demonstrating that the strata and biomes are almost completely overlapping. Results were calculated by stratum, and by biome class within each stratum. Ethiopia provided the AT with a table demonstrating the </w:t>
      </w:r>
      <w:r>
        <w:lastRenderedPageBreak/>
        <w:t xml:space="preserve">overlap. </w:t>
      </w:r>
      <w:r w:rsidRPr="00106623">
        <w:t xml:space="preserve">The AT considers </w:t>
      </w:r>
      <w:r>
        <w:t xml:space="preserve">that including </w:t>
      </w:r>
      <w:r w:rsidRPr="00106623">
        <w:t>this information would increase transparency of any possible future revised FREL/FRL submission.</w:t>
      </w:r>
    </w:p>
    <w:p w:rsidR="00457FEF" w:rsidRDefault="00457FEF" w:rsidP="00F4398C">
      <w:pPr>
        <w:pStyle w:val="AnnoSingleTxtG"/>
      </w:pPr>
      <w:r>
        <w:t>The EFs are based on the analysis of data collected from the NFI, but the NFI was established applying a different forest definition from the one that Ethiopia is using</w:t>
      </w:r>
      <w:r w:rsidR="00F40EB9">
        <w:t xml:space="preserve"> for the FREL</w:t>
      </w:r>
      <w:r>
        <w:t xml:space="preserve">. Ethiopia reports the reason is to better capture dry and lowland, moist vegetation as well as improving the alignment with the minimum mapping unit. Areas previously classified as Ethiopia’s dense woodland now meet the forest definition. These areas are under pressure from the expansion of commercial agricultural use. The change also means highly degraded forest lands are now excluded from the forest definition. As the minimum height has been reduced (from 5m to 2m) and canopy cover increased (from 10% to 20%) EF’s based on the NFI data are likely to be biased as vegetation shorter than 5m may not have been systematically sampled. In response to a question by the AT, Ethiopia explained that the sampling intensity of the NFI was based on strata where forests potentially exist, not the canopy cover or forest height, and therefore the </w:t>
      </w:r>
      <w:proofErr w:type="spellStart"/>
      <w:r w:rsidRPr="00B65F65">
        <w:rPr>
          <w:i/>
        </w:rPr>
        <w:t>Combretum</w:t>
      </w:r>
      <w:r>
        <w:t>-</w:t>
      </w:r>
      <w:r w:rsidRPr="00B65F65">
        <w:rPr>
          <w:i/>
        </w:rPr>
        <w:t>Treminalia</w:t>
      </w:r>
      <w:proofErr w:type="spellEnd"/>
      <w:r>
        <w:t xml:space="preserve"> biome may be under-sampled. Ethiopia also advised that increasing sampling in one biome may introduce bias as all biomes will not be treated equally, and that it is developing a map of uncertainty from the NFI results to evaluate the need to supplement the existing NFI sampling frequency. The AT commends Ethiopia for providing this information and considers that the additional information would increase the transparency of any future submission. The AT commends Ethiopia for continuing to work on improving its emission factors and notes it as an area for future technical improvement. </w:t>
      </w:r>
    </w:p>
    <w:p w:rsidR="00457FEF" w:rsidRDefault="00457FEF" w:rsidP="00F4398C">
      <w:pPr>
        <w:pStyle w:val="AnnoSingleTxtG"/>
      </w:pPr>
      <w:r>
        <w:t xml:space="preserve">In response to a question by the AT on the number of plots and sampling units that were available and taken into account for analysis at the time of the submission, Ethiopia </w:t>
      </w:r>
      <w:r w:rsidR="00F40EB9">
        <w:t xml:space="preserve">explained </w:t>
      </w:r>
      <w:r>
        <w:t xml:space="preserve">that 191 of 222 SU that were allocated </w:t>
      </w:r>
      <w:r w:rsidR="00F40EB9">
        <w:t xml:space="preserve">in the </w:t>
      </w:r>
      <w:proofErr w:type="spellStart"/>
      <w:r>
        <w:t>Oromia</w:t>
      </w:r>
      <w:proofErr w:type="spellEnd"/>
      <w:r>
        <w:t xml:space="preserve"> Region had been surveyed and were used to derive EF’s for the biomes. The AT considers this level of information would increase transparency of any possible future revised FREL/FRL submission.</w:t>
      </w:r>
    </w:p>
    <w:p w:rsidR="00E849C5" w:rsidRDefault="00E849C5" w:rsidP="00F4398C">
      <w:pPr>
        <w:pStyle w:val="AnnoSingleTxtG"/>
      </w:pPr>
      <w:r>
        <w:t xml:space="preserve">Ethiopia signalled its intent to revise its submission by replacing the </w:t>
      </w:r>
      <w:proofErr w:type="spellStart"/>
      <w:r>
        <w:t>Oromia</w:t>
      </w:r>
      <w:proofErr w:type="spellEnd"/>
      <w:r>
        <w:t xml:space="preserve"> Region emissions factors with national emission factors in the course of 2016. The AT considers that the current interim emission factors will not be completely representative and therefore commends Ethiopia for continuing to work on updating and improving the emission factors noting it as an area for future technical improvement</w:t>
      </w:r>
      <w:r w:rsidRPr="00993EBF">
        <w:t>.</w:t>
      </w:r>
    </w:p>
    <w:p w:rsidR="00457FEF" w:rsidRDefault="00457FEF" w:rsidP="00F4398C">
      <w:pPr>
        <w:pStyle w:val="AnnoSingleTxtG"/>
      </w:pPr>
      <w:r>
        <w:t xml:space="preserve">In response to a question by the AT on how the land use/land cover classes in the 2013 LULC Map relate to the NFI strata, Ethiopia provided a table showing the links between the LULC Map nomenclature with the NFI first level field inventory class. </w:t>
      </w:r>
      <w:r w:rsidR="00E849C5">
        <w:t xml:space="preserve">During the assessment, the AT was also provided with the underlying data behind figures 9-13 from Ethiopia’s submission. </w:t>
      </w:r>
      <w:r w:rsidR="00E849C5" w:rsidRPr="008150AC">
        <w:t xml:space="preserve">The AT </w:t>
      </w:r>
      <w:r w:rsidR="00E849C5">
        <w:t xml:space="preserve">commends Ethiopia for providing this information and </w:t>
      </w:r>
      <w:r w:rsidR="00E849C5" w:rsidRPr="008150AC">
        <w:t>considers that such information would increase the transparency of any possible future revised FREL submission</w:t>
      </w:r>
      <w:r w:rsidR="00E849C5">
        <w:t>.</w:t>
      </w:r>
    </w:p>
    <w:p w:rsidR="00FD70A6" w:rsidRDefault="00FD70A6" w:rsidP="00F4398C">
      <w:pPr>
        <w:pStyle w:val="AnnoSingleTxtG"/>
      </w:pPr>
      <w:r>
        <w:t>The carbon fraction of 0.5 that has been applied is the default from GPG-LULUCF. The AT notes that default carbon fractions for above ground biomass have been updated in the 2006 IPCC Guidelines, noting this is an area for future technical improvement.</w:t>
      </w:r>
    </w:p>
    <w:p w:rsidR="00457FEF" w:rsidRPr="00AE7D40" w:rsidRDefault="00457FEF" w:rsidP="00F4398C">
      <w:pPr>
        <w:pStyle w:val="AnnoSingleTxtG"/>
      </w:pPr>
      <w:r>
        <w:t xml:space="preserve">Owing to the references in decisions 12/CP.17 and 13/CP.19 to consistency with the GHG inventories, the AT compared the deforestation estimates used to calculate the FREL/FRL with the estimates used for forest and grassland conversion in the most recently published GHG inventories for Ethiopia, which at the time of the TA were those </w:t>
      </w:r>
      <w:r w:rsidR="003A54D0">
        <w:t>included in</w:t>
      </w:r>
      <w:r>
        <w:t xml:space="preserve"> the second national communication. </w:t>
      </w:r>
      <w:r w:rsidR="003A54D0" w:rsidRPr="00F412B3">
        <w:t xml:space="preserve">The </w:t>
      </w:r>
      <w:r w:rsidR="003A54D0">
        <w:t>AT</w:t>
      </w:r>
      <w:r w:rsidR="003A54D0" w:rsidRPr="00F412B3">
        <w:t xml:space="preserve"> found that the historical emission estimates associated with the FREL exceeded the forest and grassland estimates in the published GHG inventories. The TA found that GHG inventory published is not consistent with the FREL/FRL in respect of forest definition, </w:t>
      </w:r>
      <w:proofErr w:type="spellStart"/>
      <w:r w:rsidR="003A54D0" w:rsidRPr="00F412B3">
        <w:t>allometric</w:t>
      </w:r>
      <w:proofErr w:type="spellEnd"/>
      <w:r w:rsidR="003A54D0" w:rsidRPr="00F412B3">
        <w:t xml:space="preserve"> equations, emission factors and </w:t>
      </w:r>
      <w:r w:rsidR="003A54D0" w:rsidRPr="00F412B3">
        <w:lastRenderedPageBreak/>
        <w:t>activity data.</w:t>
      </w:r>
      <w:r>
        <w:t xml:space="preserve"> Since the sources of activity data are different between the GHG inventory and the FREL/FRL submission it seemed very unlikely that the values can be consistent, and the AT found insufficient information in the GHG inventories to assess the reasons for the differences</w:t>
      </w:r>
      <w:r w:rsidRPr="00AE7D40">
        <w:t xml:space="preserve">. The AT did not consider this further because Ethiopia explained that future GHG inventory reporting in the biennial update report (BUR) will use the improved data and new forest definition and full consistency will be </w:t>
      </w:r>
      <w:r w:rsidR="003A54D0" w:rsidRPr="00F412B3">
        <w:t>ensured with both the FREL and the FRL</w:t>
      </w:r>
      <w:r w:rsidR="003A54D0" w:rsidRPr="00F412B3">
        <w:rPr>
          <w:lang w:val="en-US"/>
        </w:rPr>
        <w:t>.</w:t>
      </w:r>
    </w:p>
    <w:p w:rsidR="00C14E3B" w:rsidRPr="00C14E3B" w:rsidRDefault="00C14E3B" w:rsidP="00F4398C">
      <w:pPr>
        <w:pStyle w:val="AnnoSingleTxtG"/>
      </w:pPr>
      <w:r>
        <w:t xml:space="preserve">Ethiopia </w:t>
      </w:r>
      <w:proofErr w:type="spellStart"/>
      <w:r>
        <w:t>comparesits</w:t>
      </w:r>
      <w:proofErr w:type="spellEnd"/>
      <w:r w:rsidR="006D4B3C">
        <w:t xml:space="preserve"> NFI results with secondary data sources</w:t>
      </w:r>
      <w:r>
        <w:t xml:space="preserve"> in order to validate the NFI results. </w:t>
      </w:r>
      <w:r w:rsidR="000B43B5">
        <w:t xml:space="preserve">Following </w:t>
      </w:r>
      <w:r w:rsidR="00070D83">
        <w:t>a</w:t>
      </w:r>
      <w:r w:rsidR="000B43B5">
        <w:t xml:space="preserve"> question raised by the AT, Ethiopia commented that this secondary data and information was obtained from various sources, some processed and other raw data</w:t>
      </w:r>
      <w:r w:rsidR="003D108B">
        <w:t>,</w:t>
      </w:r>
      <w:r w:rsidR="000B43B5">
        <w:t xml:space="preserve"> including MSc theses, PhD dissertations, research report</w:t>
      </w:r>
      <w:r w:rsidR="003F068F">
        <w:t>s</w:t>
      </w:r>
      <w:r w:rsidR="000B43B5">
        <w:t xml:space="preserve"> and grey </w:t>
      </w:r>
      <w:proofErr w:type="spellStart"/>
      <w:r w:rsidR="000B43B5">
        <w:t>literature</w:t>
      </w:r>
      <w:r w:rsidR="003D108B">
        <w:t>,and</w:t>
      </w:r>
      <w:proofErr w:type="spellEnd"/>
      <w:r w:rsidR="003D108B">
        <w:t xml:space="preserve"> was </w:t>
      </w:r>
      <w:r w:rsidR="000B43B5">
        <w:t>concentrated on patches of remaining forest ecosystems of each biome</w:t>
      </w:r>
      <w:r w:rsidR="00D6154F">
        <w:t>. The data were collected</w:t>
      </w:r>
      <w:r w:rsidR="000B43B5">
        <w:t xml:space="preserve"> for different purposes, </w:t>
      </w:r>
      <w:r w:rsidR="003E2583">
        <w:t xml:space="preserve">therefore </w:t>
      </w:r>
      <w:r w:rsidR="000B43B5">
        <w:t>collection methodologies and time scale</w:t>
      </w:r>
      <w:r w:rsidR="00FE1062">
        <w:t>s</w:t>
      </w:r>
      <w:r w:rsidR="003E2583">
        <w:t xml:space="preserve"> differ</w:t>
      </w:r>
      <w:r w:rsidR="000B43B5">
        <w:t xml:space="preserve">. </w:t>
      </w:r>
      <w:r w:rsidR="00251B4C">
        <w:t xml:space="preserve">The AT </w:t>
      </w:r>
      <w:proofErr w:type="spellStart"/>
      <w:r w:rsidR="00106623">
        <w:t>commend</w:t>
      </w:r>
      <w:r w:rsidR="00FE1062">
        <w:t>s</w:t>
      </w:r>
      <w:r w:rsidRPr="00C14E3B">
        <w:t>Ethiopia’s</w:t>
      </w:r>
      <w:proofErr w:type="spellEnd"/>
      <w:r w:rsidRPr="00C14E3B">
        <w:t xml:space="preserve"> effort to include comparisons with secondary data; in the context of q</w:t>
      </w:r>
      <w:r w:rsidR="00106623">
        <w:t>uality assurance procedures</w:t>
      </w:r>
      <w:r w:rsidR="00A76E39">
        <w:t xml:space="preserve"> of data and estimates, it is </w:t>
      </w:r>
      <w:r w:rsidRPr="00C14E3B">
        <w:t>good practice to applying verification techniques as cross-checks with secondary sources but care must be taken to ensure that the characteristics of the selected data are, in fact, comparable. In the case of Ethiopia, it seems that primary data are not really comparable</w:t>
      </w:r>
      <w:r w:rsidR="00A76E39">
        <w:t xml:space="preserve"> with secondary sources, as </w:t>
      </w:r>
      <w:r w:rsidRPr="00C14E3B">
        <w:t xml:space="preserve">the secondary sources </w:t>
      </w:r>
      <w:r w:rsidR="00A76E39">
        <w:t xml:space="preserve">are </w:t>
      </w:r>
      <w:r w:rsidR="00251B4C">
        <w:t xml:space="preserve">potentially </w:t>
      </w:r>
      <w:r w:rsidRPr="00C14E3B">
        <w:t>bias</w:t>
      </w:r>
      <w:r w:rsidR="00251B4C">
        <w:t>ed</w:t>
      </w:r>
      <w:r w:rsidR="00A76E39">
        <w:t xml:space="preserve">. This is because </w:t>
      </w:r>
      <w:r w:rsidRPr="00C14E3B">
        <w:t>the sampl</w:t>
      </w:r>
      <w:r w:rsidR="008B7C86">
        <w:t>ing</w:t>
      </w:r>
      <w:r w:rsidRPr="00C14E3B">
        <w:t xml:space="preserve"> </w:t>
      </w:r>
      <w:proofErr w:type="spellStart"/>
      <w:r w:rsidRPr="00C14E3B">
        <w:t>design</w:t>
      </w:r>
      <w:r w:rsidR="003E2583">
        <w:t>is</w:t>
      </w:r>
      <w:proofErr w:type="spellEnd"/>
      <w:r w:rsidR="003E2583">
        <w:t xml:space="preserve"> more</w:t>
      </w:r>
      <w:r w:rsidR="00A76E39">
        <w:t xml:space="preserve"> likely </w:t>
      </w:r>
      <w:r w:rsidR="003E2583">
        <w:t>to</w:t>
      </w:r>
      <w:r w:rsidR="008B7C86">
        <w:t xml:space="preserve"> have been </w:t>
      </w:r>
      <w:r w:rsidR="000726F2">
        <w:t>intended</w:t>
      </w:r>
      <w:r w:rsidR="008B7C86">
        <w:t xml:space="preserve"> to </w:t>
      </w:r>
      <w:proofErr w:type="spellStart"/>
      <w:r w:rsidR="00A76E39">
        <w:t>target</w:t>
      </w:r>
      <w:r w:rsidR="0053485B">
        <w:t>specific</w:t>
      </w:r>
      <w:proofErr w:type="spellEnd"/>
      <w:r w:rsidR="0053485B">
        <w:t xml:space="preserve"> vegetation types (e.g. </w:t>
      </w:r>
      <w:r w:rsidRPr="00C14E3B">
        <w:t>primary and dense forest patches</w:t>
      </w:r>
      <w:r w:rsidR="0053485B">
        <w:t>)</w:t>
      </w:r>
      <w:r w:rsidR="00251B4C">
        <w:t>,</w:t>
      </w:r>
      <w:r w:rsidRPr="00C14E3B">
        <w:t xml:space="preserve"> or a </w:t>
      </w:r>
      <w:r w:rsidR="0053485B">
        <w:t xml:space="preserve">specific </w:t>
      </w:r>
      <w:r w:rsidRPr="00C14E3B">
        <w:t>geographical area</w:t>
      </w:r>
      <w:r w:rsidR="0053485B">
        <w:t>,</w:t>
      </w:r>
      <w:r w:rsidRPr="00C14E3B">
        <w:t xml:space="preserve"> rather than </w:t>
      </w:r>
      <w:r w:rsidR="0053485B">
        <w:t xml:space="preserve">a </w:t>
      </w:r>
      <w:r w:rsidR="00251B4C">
        <w:t>statistical</w:t>
      </w:r>
      <w:r w:rsidR="0053485B">
        <w:t>ly valid</w:t>
      </w:r>
      <w:r w:rsidR="00251B4C">
        <w:t xml:space="preserve"> design</w:t>
      </w:r>
      <w:r w:rsidR="00511DF4">
        <w:t xml:space="preserve"> at the national scale</w:t>
      </w:r>
      <w:r w:rsidR="00251B4C">
        <w:t xml:space="preserve">. </w:t>
      </w:r>
      <w:r w:rsidRPr="00C14E3B">
        <w:t>Ethiopia could improve the quality assurance procedures in any possible future revised submission</w:t>
      </w:r>
      <w:r w:rsidR="00251B4C">
        <w:t>s</w:t>
      </w:r>
      <w:r w:rsidRPr="00C14E3B">
        <w:t xml:space="preserve"> by includin</w:t>
      </w:r>
      <w:r w:rsidR="00251B4C">
        <w:t>g comparisons with global data/</w:t>
      </w:r>
      <w:r w:rsidRPr="00C14E3B">
        <w:t xml:space="preserve">international programmes and by selecting a subset of the total secondary units as a </w:t>
      </w:r>
      <w:r w:rsidR="008150AC">
        <w:t>way to</w:t>
      </w:r>
      <w:r w:rsidRPr="00C14E3B">
        <w:t xml:space="preserve"> get more comparable results for </w:t>
      </w:r>
      <w:r w:rsidR="008150AC">
        <w:t>above ground biomass (</w:t>
      </w:r>
      <w:r w:rsidRPr="00C14E3B">
        <w:t>AGB</w:t>
      </w:r>
      <w:r w:rsidR="008150AC">
        <w:t>)</w:t>
      </w:r>
      <w:r w:rsidRPr="00C14E3B">
        <w:t>.</w:t>
      </w:r>
      <w:r w:rsidR="00B52A06">
        <w:t xml:space="preserve"> The AT notes this as an area for future technical improvement.</w:t>
      </w:r>
    </w:p>
    <w:p w:rsidR="00FD70A6" w:rsidRDefault="00FD70A6" w:rsidP="00F4398C">
      <w:pPr>
        <w:pStyle w:val="AnnoSingleTxtG"/>
      </w:pPr>
      <w:r>
        <w:t>The estimate of area deforested over the perio</w:t>
      </w:r>
      <w:r w:rsidR="003E3118">
        <w:t>d 2000–</w:t>
      </w:r>
      <w:r>
        <w:t xml:space="preserve">2013 from the forest change detection process was </w:t>
      </w:r>
      <w:r w:rsidRPr="00471B4F">
        <w:t xml:space="preserve">343,414 </w:t>
      </w:r>
      <w:proofErr w:type="spellStart"/>
      <w:r w:rsidRPr="00471B4F">
        <w:t>ha</w:t>
      </w:r>
      <w:r>
        <w:t>.T</w:t>
      </w:r>
      <w:r w:rsidRPr="00471B4F">
        <w:t>he</w:t>
      </w:r>
      <w:proofErr w:type="spellEnd"/>
      <w:r w:rsidRPr="00471B4F">
        <w:t xml:space="preserve"> </w:t>
      </w:r>
      <w:r>
        <w:t>adjusted</w:t>
      </w:r>
      <w:r w:rsidRPr="00471B4F">
        <w:t xml:space="preserve"> estimate of deforested area to correct the map bias was </w:t>
      </w:r>
      <w:r>
        <w:t>estimated as</w:t>
      </w:r>
      <w:r w:rsidRPr="00471B4F">
        <w:t xml:space="preserve"> 1,103,472 ha with a confidence interval of 95% that ensure</w:t>
      </w:r>
      <w:r>
        <w:t>s</w:t>
      </w:r>
      <w:r w:rsidRPr="00471B4F">
        <w:t xml:space="preserve"> that the true value of deforestation is between 189,997 ha and 2,016,947 </w:t>
      </w:r>
      <w:proofErr w:type="spellStart"/>
      <w:r w:rsidRPr="00471B4F">
        <w:t>ha.In</w:t>
      </w:r>
      <w:proofErr w:type="spellEnd"/>
      <w:r w:rsidRPr="00471B4F">
        <w:t xml:space="preserve"> the case of afforest</w:t>
      </w:r>
      <w:r>
        <w:t>ation</w:t>
      </w:r>
      <w:r w:rsidRPr="00471B4F">
        <w:t xml:space="preserve">, the </w:t>
      </w:r>
      <w:r>
        <w:t xml:space="preserve">area </w:t>
      </w:r>
      <w:r w:rsidRPr="00471B4F">
        <w:t>estimated</w:t>
      </w:r>
      <w:r>
        <w:t xml:space="preserve"> from the forest change detection process was </w:t>
      </w:r>
      <w:r w:rsidRPr="00471B4F">
        <w:t xml:space="preserve">40,578 ha and the </w:t>
      </w:r>
      <w:r>
        <w:t>adjusted</w:t>
      </w:r>
      <w:r w:rsidRPr="00471B4F">
        <w:t xml:space="preserve"> area </w:t>
      </w:r>
      <w:r>
        <w:t>estimated as</w:t>
      </w:r>
      <w:r w:rsidRPr="00471B4F">
        <w:t xml:space="preserve"> 438,341 ha with a confidence interval of 95% that ensure</w:t>
      </w:r>
      <w:r>
        <w:t>s</w:t>
      </w:r>
      <w:r w:rsidRPr="00471B4F">
        <w:t xml:space="preserve"> that the true value of afforestation is between -141,286 ha and 1,017,968 </w:t>
      </w:r>
      <w:proofErr w:type="spellStart"/>
      <w:r w:rsidRPr="00471B4F">
        <w:t>ha.In</w:t>
      </w:r>
      <w:proofErr w:type="spellEnd"/>
      <w:r w:rsidRPr="00471B4F">
        <w:t xml:space="preserve"> the view of the AT, such difference between the estimated areas in the map and the adjusted estimate areas</w:t>
      </w:r>
      <w:r>
        <w:t>, and</w:t>
      </w:r>
      <w:r w:rsidRPr="00471B4F">
        <w:t xml:space="preserve"> the fact that adjusted</w:t>
      </w:r>
      <w:r>
        <w:t xml:space="preserve"> estimate areas do not provide spatially explicit results that therefore do not</w:t>
      </w:r>
      <w:r w:rsidRPr="00471B4F">
        <w:t xml:space="preserve"> allow for tracking afforestation and </w:t>
      </w:r>
      <w:proofErr w:type="spellStart"/>
      <w:r w:rsidRPr="00471B4F">
        <w:t>reforestationactivities</w:t>
      </w:r>
      <w:proofErr w:type="spellEnd"/>
      <w:r w:rsidRPr="00471B4F">
        <w:t xml:space="preserve"> within the territory of the country</w:t>
      </w:r>
      <w:r>
        <w:t>,</w:t>
      </w:r>
      <w:r w:rsidRPr="00471B4F">
        <w:t xml:space="preserve"> along with estimating emissions and removals relevant to them</w:t>
      </w:r>
      <w:r>
        <w:t xml:space="preserve">, may lead either to an overestimation of emissions or underestimation of removals during the historical period. Harvested lands may be accounted as deforested areas, increasing the emissions during the historical period, and the same portion of land may be accounted as enhancement of carbon stocks during the period of implementation of activities. The AT notes the 95% confidence intervals for the adjusted estimates are very high. In response to a question raised by the AT, Ethiopia provided additional information to explain how the adjustments were calculated. The AT notes that the sampling design following </w:t>
      </w:r>
      <w:proofErr w:type="spellStart"/>
      <w:r>
        <w:t>Olofsson</w:t>
      </w:r>
      <w:proofErr w:type="spellEnd"/>
      <w:r>
        <w:t xml:space="preserve"> et al 2014 was to sample 903 points. 25% of points were not able to be sampled. It is good practice to address the impacts on how well the sample represents the population. The AT commends Ethiopia for providing this information and considers the additional information considerably increases the transparency of the submission. The method applied to adjust the forest change estimates following accuracy assessment results in estimates with large uncertainties (83% for deforestation and 132% for afforestation). The AT considers reducing uncertainties in the activity data used to develop both FREL and FRL a priority area for technical improvement. </w:t>
      </w:r>
    </w:p>
    <w:p w:rsidR="007F3ECF" w:rsidRPr="00316E7C" w:rsidRDefault="002B148E" w:rsidP="00316E7C">
      <w:pPr>
        <w:pStyle w:val="RegSingleTxtG"/>
        <w:numPr>
          <w:ilvl w:val="0"/>
          <w:numId w:val="0"/>
        </w:numPr>
        <w:ind w:left="1135"/>
        <w:rPr>
          <w:u w:val="single"/>
        </w:rPr>
      </w:pPr>
      <w:r w:rsidRPr="00993EBF">
        <w:rPr>
          <w:u w:val="single"/>
        </w:rPr>
        <w:lastRenderedPageBreak/>
        <w:t>Description of relevant policies and plans, as appropriate</w:t>
      </w:r>
    </w:p>
    <w:p w:rsidR="007F3ECF" w:rsidRPr="00316E7C" w:rsidRDefault="007F3ECF" w:rsidP="00F4398C">
      <w:pPr>
        <w:pStyle w:val="AnnoSingleTxtG"/>
      </w:pPr>
      <w:r w:rsidRPr="00316E7C">
        <w:t xml:space="preserve">Information on </w:t>
      </w:r>
      <w:r w:rsidR="00316E7C">
        <w:t xml:space="preserve">relevant </w:t>
      </w:r>
      <w:r w:rsidRPr="00316E7C">
        <w:t xml:space="preserve">domestic policies and plans </w:t>
      </w:r>
      <w:r w:rsidR="00316E7C">
        <w:t xml:space="preserve">has been included as part of </w:t>
      </w:r>
      <w:proofErr w:type="spellStart"/>
      <w:r w:rsidR="00316E7C">
        <w:t>Ethiopia’ssubmission</w:t>
      </w:r>
      <w:proofErr w:type="spellEnd"/>
      <w:r w:rsidRPr="00316E7C">
        <w:t xml:space="preserve">. </w:t>
      </w:r>
      <w:r w:rsidR="00316E7C">
        <w:t>Two key strategies</w:t>
      </w:r>
      <w:r w:rsidR="00055CBF">
        <w:t xml:space="preserve">, the Second Growth and Transformation Plan (GTP-2) and the Climate Resilient Green Economy (CRGE) </w:t>
      </w:r>
      <w:proofErr w:type="spellStart"/>
      <w:r w:rsidR="00055CBF">
        <w:t>strategyprioritise</w:t>
      </w:r>
      <w:proofErr w:type="spellEnd"/>
      <w:r w:rsidR="00055CBF">
        <w:t xml:space="preserve"> attainment of middle income status by 2025 by taking low carbon, resilient, green growth actions. Both strategies emphasise agriculture and forestry, with goals to </w:t>
      </w:r>
      <w:r w:rsidR="00E75BAC">
        <w:t>increase forest expansion by seven million hectares and reduce deforestation by half by 2025</w:t>
      </w:r>
      <w:r w:rsidRPr="00316E7C">
        <w:t xml:space="preserve">. </w:t>
      </w:r>
    </w:p>
    <w:p w:rsidR="002B148E" w:rsidRPr="00993EBF" w:rsidRDefault="002B148E" w:rsidP="00993EBF">
      <w:pPr>
        <w:pStyle w:val="RegH23G"/>
      </w:pPr>
      <w:bookmarkStart w:id="18" w:name="_Toc404864970"/>
      <w:r w:rsidRPr="00993EBF">
        <w:t>Pools, gases and activities included in the construction of the forest reference emission level</w:t>
      </w:r>
      <w:bookmarkEnd w:id="18"/>
    </w:p>
    <w:p w:rsidR="002B148E" w:rsidRPr="00993EBF" w:rsidRDefault="002B148E" w:rsidP="00F4398C">
      <w:pPr>
        <w:pStyle w:val="AnnoSingleTxtG"/>
      </w:pPr>
      <w:r w:rsidRPr="00993EBF">
        <w:t xml:space="preserve">According to </w:t>
      </w:r>
      <w:r w:rsidR="008A004A" w:rsidRPr="00993EBF">
        <w:t>d</w:t>
      </w:r>
      <w:r w:rsidRPr="00993EBF">
        <w:t xml:space="preserve">ecision 12/CP.17, subparagraph (c) of the annex, reasons for omitting a pool and/or activity from the construction of the </w:t>
      </w:r>
      <w:r w:rsidR="00E72A1F" w:rsidRPr="003343F9">
        <w:t>FREL/</w:t>
      </w:r>
      <w:proofErr w:type="spellStart"/>
      <w:r w:rsidR="00E72A1F" w:rsidRPr="003343F9">
        <w:t>FRL</w:t>
      </w:r>
      <w:r w:rsidRPr="00FD0E69">
        <w:t>should</w:t>
      </w:r>
      <w:proofErr w:type="spellEnd"/>
      <w:r w:rsidRPr="00993EBF">
        <w:t xml:space="preserve"> be provided, noting that significant pools and/or activities should not be excluded.</w:t>
      </w:r>
    </w:p>
    <w:p w:rsidR="002B148E" w:rsidRPr="00993EBF" w:rsidRDefault="002B148E" w:rsidP="00F4398C">
      <w:pPr>
        <w:pStyle w:val="AnnoSingleTxtG"/>
      </w:pPr>
      <w:r w:rsidRPr="00993EBF">
        <w:t xml:space="preserve">The </w:t>
      </w:r>
      <w:r w:rsidR="00206FD0">
        <w:t xml:space="preserve">carbon </w:t>
      </w:r>
      <w:r w:rsidRPr="00993EBF">
        <w:t xml:space="preserve">pools </w:t>
      </w:r>
      <w:r w:rsidR="00206FD0">
        <w:t>reported</w:t>
      </w:r>
      <w:r w:rsidRPr="00993EBF">
        <w:t xml:space="preserve"> in </w:t>
      </w:r>
      <w:r w:rsidR="00316615">
        <w:t xml:space="preserve">both </w:t>
      </w:r>
      <w:r w:rsidRPr="00993EBF">
        <w:t xml:space="preserve">the </w:t>
      </w:r>
      <w:r w:rsidR="00316615" w:rsidRPr="003343F9">
        <w:t xml:space="preserve">FREL and the </w:t>
      </w:r>
      <w:proofErr w:type="spellStart"/>
      <w:r w:rsidR="00E72A1F" w:rsidRPr="003343F9">
        <w:t>FRL</w:t>
      </w:r>
      <w:r w:rsidR="00206FD0">
        <w:t>include</w:t>
      </w:r>
      <w:r w:rsidR="00974A56">
        <w:t>above</w:t>
      </w:r>
      <w:proofErr w:type="spellEnd"/>
      <w:r w:rsidR="00974A56">
        <w:t xml:space="preserve"> </w:t>
      </w:r>
      <w:r w:rsidR="00C3339F">
        <w:t>ground</w:t>
      </w:r>
      <w:r w:rsidR="00974A56">
        <w:t xml:space="preserve"> biomass, below ground biomass and dead wood. Litter and soil carbon pools </w:t>
      </w:r>
      <w:r w:rsidRPr="00993EBF">
        <w:t>were not included</w:t>
      </w:r>
      <w:r w:rsidR="00206FD0">
        <w:t xml:space="preserve"> due to a lack of information</w:t>
      </w:r>
      <w:r w:rsidR="00681262">
        <w:t>.</w:t>
      </w:r>
      <w:r w:rsidR="00206FD0">
        <w:t xml:space="preserve"> Ethiopia clarified during the TA that the NFI will generate data to</w:t>
      </w:r>
      <w:r w:rsidR="005609FF">
        <w:t xml:space="preserve"> potentially allow the inclusion of the litter pool, following additional method development. The AT commends Ethiopia for collecting the data and considers that this is likely to be the least significant pool. Ethiopia clarified during the TA that </w:t>
      </w:r>
      <w:r w:rsidR="004F7B75">
        <w:t xml:space="preserve">no improvement work is underway to obtain soil organic carbon estimates. During the TA information was provided from one study that indicates the carbon fraction in </w:t>
      </w:r>
      <w:r w:rsidR="005E094C">
        <w:t xml:space="preserve">soil is between low and moderate. The AT considers that the </w:t>
      </w:r>
      <w:r w:rsidR="00FD0E69">
        <w:t xml:space="preserve">exclusion of </w:t>
      </w:r>
      <w:r w:rsidR="005E094C">
        <w:t xml:space="preserve">soil organic carbon pool </w:t>
      </w:r>
      <w:r w:rsidR="00FD0E69">
        <w:t xml:space="preserve">is adequately justified due to the lack of information currently available to use, that it </w:t>
      </w:r>
      <w:r w:rsidR="005E094C">
        <w:t xml:space="preserve">may be </w:t>
      </w:r>
      <w:r w:rsidR="00FD0E69">
        <w:t xml:space="preserve">a </w:t>
      </w:r>
      <w:r w:rsidR="005E094C">
        <w:t>significant</w:t>
      </w:r>
      <w:r w:rsidR="00FD0E69">
        <w:t xml:space="preserve"> source and </w:t>
      </w:r>
      <w:proofErr w:type="spellStart"/>
      <w:r w:rsidR="00FD0E69">
        <w:t>note</w:t>
      </w:r>
      <w:r w:rsidR="005E094C">
        <w:t>sit</w:t>
      </w:r>
      <w:proofErr w:type="spellEnd"/>
      <w:r w:rsidR="005E094C">
        <w:t xml:space="preserve"> as an area for future </w:t>
      </w:r>
      <w:r w:rsidR="00FD0E69">
        <w:t xml:space="preserve">technical </w:t>
      </w:r>
      <w:r w:rsidR="005E094C">
        <w:t>improvemen</w:t>
      </w:r>
      <w:r w:rsidR="003343F9">
        <w:t>t</w:t>
      </w:r>
      <w:r w:rsidR="00FD0E69">
        <w:t xml:space="preserve"> for the FREL and FRL</w:t>
      </w:r>
      <w:r w:rsidR="005E094C">
        <w:t>.</w:t>
      </w:r>
    </w:p>
    <w:p w:rsidR="002B148E" w:rsidRPr="00993EBF" w:rsidRDefault="0064380D" w:rsidP="00F4398C">
      <w:pPr>
        <w:pStyle w:val="AnnoSingleTxtG"/>
      </w:pPr>
      <w:r>
        <w:t>Ethiopia does not include non-</w:t>
      </w:r>
      <w:r w:rsidR="003903D9">
        <w:t>CO</w:t>
      </w:r>
      <w:r w:rsidR="003903D9" w:rsidRPr="00CD631F">
        <w:rPr>
          <w:vertAlign w:val="subscript"/>
        </w:rPr>
        <w:t>2</w:t>
      </w:r>
      <w:r w:rsidR="003903D9">
        <w:t xml:space="preserve"> emissions </w:t>
      </w:r>
      <w:r>
        <w:t>in its FREL and FRL</w:t>
      </w:r>
      <w:r w:rsidR="003903D9">
        <w:t xml:space="preserve"> since data on of fires is not reliable for inclusion in the FREL. However, Ethiopia evaluated the significance </w:t>
      </w:r>
      <w:r w:rsidR="003903D9" w:rsidRPr="00CD631F">
        <w:t>of non-CO</w:t>
      </w:r>
      <w:r w:rsidR="003903D9" w:rsidRPr="00CD631F">
        <w:rPr>
          <w:vertAlign w:val="subscript"/>
        </w:rPr>
        <w:t>2</w:t>
      </w:r>
      <w:r w:rsidR="003903D9" w:rsidRPr="00CD631F">
        <w:t xml:space="preserve"> gases by calculating annual non-CO</w:t>
      </w:r>
      <w:r w:rsidR="003903D9" w:rsidRPr="00CD631F">
        <w:rPr>
          <w:vertAlign w:val="subscript"/>
        </w:rPr>
        <w:t>2</w:t>
      </w:r>
      <w:r w:rsidR="003903D9" w:rsidRPr="00CD631F">
        <w:t xml:space="preserve"> emissions for a burned area of 100ha (minimum burned forest area reported in 2008) of the lowest biomass forest (biome 1) and for a burned area of 800ha (maximum burned forest area reported in 2006) of the highest biomass forest (biome 4). This </w:t>
      </w:r>
      <w:r w:rsidR="003903D9" w:rsidRPr="003903D9">
        <w:t>calculation</w:t>
      </w:r>
      <w:r w:rsidR="003903D9" w:rsidRPr="00CD631F">
        <w:t xml:space="preserve"> suggests the contribution of non-CO</w:t>
      </w:r>
      <w:r w:rsidR="003903D9" w:rsidRPr="00CD631F">
        <w:rPr>
          <w:vertAlign w:val="subscript"/>
        </w:rPr>
        <w:t>2</w:t>
      </w:r>
      <w:r w:rsidR="00AE14FC">
        <w:t xml:space="preserve">gas emissions </w:t>
      </w:r>
      <w:r w:rsidR="003903D9" w:rsidRPr="00CD631F">
        <w:t>to total forest-related e</w:t>
      </w:r>
      <w:r w:rsidR="002056AC">
        <w:t>missions is in the range of 0.1–</w:t>
      </w:r>
      <w:r w:rsidR="003903D9" w:rsidRPr="00CD631F">
        <w:t>37</w:t>
      </w:r>
      <w:r w:rsidR="00AE14FC">
        <w:t>,000</w:t>
      </w:r>
      <w:r w:rsidR="003903D9" w:rsidRPr="00CD631F">
        <w:t xml:space="preserve"> tCO</w:t>
      </w:r>
      <w:r w:rsidR="003903D9" w:rsidRPr="00CD631F">
        <w:rPr>
          <w:vertAlign w:val="subscript"/>
        </w:rPr>
        <w:t>2</w:t>
      </w:r>
      <w:r w:rsidR="002056AC">
        <w:t>eq for CO, 0.1</w:t>
      </w:r>
      <w:r w:rsidR="003903D9" w:rsidRPr="00CD631F">
        <w:t>–33</w:t>
      </w:r>
      <w:r w:rsidR="00AE14FC">
        <w:t>,000</w:t>
      </w:r>
      <w:r w:rsidR="003903D9" w:rsidRPr="00CD631F">
        <w:t xml:space="preserve"> tCO</w:t>
      </w:r>
      <w:r w:rsidR="003903D9" w:rsidRPr="00CD631F">
        <w:rPr>
          <w:vertAlign w:val="subscript"/>
        </w:rPr>
        <w:t>2</w:t>
      </w:r>
      <w:r w:rsidR="002056AC">
        <w:t>eq for CH4 and 0.03–</w:t>
      </w:r>
      <w:r w:rsidR="003903D9" w:rsidRPr="00CD631F">
        <w:t>11</w:t>
      </w:r>
      <w:r w:rsidR="008F1DB4">
        <w:t>,000</w:t>
      </w:r>
      <w:r w:rsidR="003903D9" w:rsidRPr="00CD631F">
        <w:t xml:space="preserve"> tCO</w:t>
      </w:r>
      <w:r w:rsidR="003903D9" w:rsidRPr="00CD631F">
        <w:rPr>
          <w:vertAlign w:val="subscript"/>
        </w:rPr>
        <w:t>2</w:t>
      </w:r>
      <w:r w:rsidR="003903D9" w:rsidRPr="00CD631F">
        <w:t>eq for N</w:t>
      </w:r>
      <w:r w:rsidR="003903D9" w:rsidRPr="00CD631F">
        <w:rPr>
          <w:vertAlign w:val="subscript"/>
        </w:rPr>
        <w:t>2</w:t>
      </w:r>
      <w:r w:rsidR="003903D9" w:rsidRPr="00CD631F">
        <w:t>O. Therefore the contribution of non</w:t>
      </w:r>
      <w:r w:rsidR="008F1DB4">
        <w:t>-</w:t>
      </w:r>
      <w:r w:rsidR="003903D9" w:rsidRPr="00CD631F">
        <w:t>CO</w:t>
      </w:r>
      <w:r w:rsidR="003903D9" w:rsidRPr="00CD631F">
        <w:rPr>
          <w:vertAlign w:val="subscript"/>
        </w:rPr>
        <w:t>2</w:t>
      </w:r>
      <w:r w:rsidR="003903D9" w:rsidRPr="00CD631F">
        <w:t xml:space="preserve"> gases is estimated to be </w:t>
      </w:r>
      <w:r w:rsidR="00622F1F">
        <w:t xml:space="preserve">below </w:t>
      </w:r>
      <w:r w:rsidR="003903D9" w:rsidRPr="00CD631F">
        <w:t>2</w:t>
      </w:r>
      <w:r w:rsidR="00622F1F">
        <w:t xml:space="preserve"> per cent</w:t>
      </w:r>
      <w:r w:rsidR="003903D9" w:rsidRPr="00CD631F">
        <w:t xml:space="preserve"> of total annual emissions from forest land in </w:t>
      </w:r>
      <w:proofErr w:type="spellStart"/>
      <w:r w:rsidR="003903D9" w:rsidRPr="00CD631F">
        <w:t>Ethiopia.</w:t>
      </w:r>
      <w:r w:rsidR="002B148E" w:rsidRPr="00993EBF">
        <w:t>The</w:t>
      </w:r>
      <w:proofErr w:type="spellEnd"/>
      <w:r w:rsidR="002B148E" w:rsidRPr="00993EBF">
        <w:t xml:space="preserve"> AT </w:t>
      </w:r>
      <w:r w:rsidR="003903D9">
        <w:t xml:space="preserve">commends this approach and </w:t>
      </w:r>
      <w:r w:rsidR="002B148E" w:rsidRPr="00993EBF">
        <w:t xml:space="preserve">considers the treatment of </w:t>
      </w:r>
      <w:r w:rsidR="002B148E" w:rsidRPr="00CD631F">
        <w:t>non-</w:t>
      </w:r>
      <w:r w:rsidR="00641438" w:rsidRPr="00CD631F">
        <w:t>CO</w:t>
      </w:r>
      <w:r w:rsidR="00641438" w:rsidRPr="00CD631F">
        <w:rPr>
          <w:vertAlign w:val="subscript"/>
        </w:rPr>
        <w:t>2</w:t>
      </w:r>
      <w:r w:rsidR="002B148E" w:rsidRPr="00CD631F">
        <w:t xml:space="preserve"> </w:t>
      </w:r>
      <w:proofErr w:type="spellStart"/>
      <w:r w:rsidR="002B148E" w:rsidRPr="00CD631F">
        <w:t>gases</w:t>
      </w:r>
      <w:r w:rsidR="00F32091" w:rsidRPr="00993EBF">
        <w:t>as</w:t>
      </w:r>
      <w:proofErr w:type="spellEnd"/>
      <w:r w:rsidR="00F32091" w:rsidRPr="00993EBF">
        <w:t xml:space="preserve"> </w:t>
      </w:r>
      <w:r w:rsidR="002B148E" w:rsidRPr="00993EBF">
        <w:t xml:space="preserve">an area </w:t>
      </w:r>
      <w:r w:rsidR="00F32091" w:rsidRPr="00993EBF">
        <w:t xml:space="preserve">for </w:t>
      </w:r>
      <w:r w:rsidR="002B148E" w:rsidRPr="00993EBF">
        <w:t xml:space="preserve">future technical improvement to maintain consistency with </w:t>
      </w:r>
      <w:r w:rsidR="002B148E" w:rsidRPr="00CD631F">
        <w:t xml:space="preserve">the GHG inventory included in </w:t>
      </w:r>
      <w:r w:rsidR="003D0856" w:rsidRPr="00CD631F">
        <w:t xml:space="preserve">the </w:t>
      </w:r>
      <w:r w:rsidR="002B148E" w:rsidRPr="00CD631F">
        <w:t>national communication</w:t>
      </w:r>
      <w:r w:rsidR="002B148E" w:rsidRPr="00993EBF">
        <w:t>.</w:t>
      </w:r>
    </w:p>
    <w:p w:rsidR="00D362E1" w:rsidRDefault="000C0EE7" w:rsidP="00F4398C">
      <w:pPr>
        <w:pStyle w:val="AnnoSingleTxtG"/>
      </w:pPr>
      <w:r>
        <w:t xml:space="preserve">Among the </w:t>
      </w:r>
      <w:r w:rsidR="008F1DB4">
        <w:t xml:space="preserve">five </w:t>
      </w:r>
      <w:r>
        <w:t>eligible activities</w:t>
      </w:r>
      <w:r w:rsidRPr="00993EBF">
        <w:t xml:space="preserve"> identified in paragraph 70 of decision 1/CP.16, in accordance with national capabilities and circumstances</w:t>
      </w:r>
      <w:r>
        <w:t xml:space="preserve">, </w:t>
      </w:r>
      <w:proofErr w:type="spellStart"/>
      <w:r>
        <w:t>Ethiopiahas</w:t>
      </w:r>
      <w:proofErr w:type="spellEnd"/>
      <w:r>
        <w:t xml:space="preserve"> chosen </w:t>
      </w:r>
      <w:r w:rsidRPr="00CB58FA">
        <w:t xml:space="preserve">reducing emissions from </w:t>
      </w:r>
      <w:proofErr w:type="spellStart"/>
      <w:r w:rsidRPr="00CB58FA">
        <w:t>deforestation</w:t>
      </w:r>
      <w:r w:rsidR="008F1DB4">
        <w:t>for</w:t>
      </w:r>
      <w:proofErr w:type="spellEnd"/>
      <w:r w:rsidR="008F1DB4">
        <w:t xml:space="preserve"> the calculation of </w:t>
      </w:r>
      <w:proofErr w:type="spellStart"/>
      <w:r w:rsidR="00D73ECB">
        <w:t>theFREL</w:t>
      </w:r>
      <w:proofErr w:type="spellEnd"/>
      <w:r w:rsidR="00D73ECB">
        <w:t xml:space="preserve"> </w:t>
      </w:r>
      <w:r>
        <w:t xml:space="preserve">and enhancement of forest carbon stocks, defined as the conversion of other land to forest land, for </w:t>
      </w:r>
      <w:r w:rsidR="00D73ECB">
        <w:t xml:space="preserve">the </w:t>
      </w:r>
      <w:r>
        <w:t>calculation of the FRL</w:t>
      </w:r>
      <w:r w:rsidRPr="00993EBF">
        <w:t xml:space="preserve">. </w:t>
      </w:r>
      <w:r>
        <w:t>Ethiopia acknowledges in its submission that forest degradation is considered a significant source of emissions, but due to the lack of accurate, reliable and consistent data at the national scale, forest degradation is currently omitted from its FREL/FRL. In response to a question raised by the AT on its intention of gradually account</w:t>
      </w:r>
      <w:r w:rsidR="00622F1F">
        <w:t>ing</w:t>
      </w:r>
      <w:r>
        <w:t xml:space="preserve"> for forest degradation start</w:t>
      </w:r>
      <w:r w:rsidR="00622F1F">
        <w:t>ing</w:t>
      </w:r>
      <w:r>
        <w:t xml:space="preserve"> from</w:t>
      </w:r>
      <w:r w:rsidR="00622F1F">
        <w:t xml:space="preserve"> the</w:t>
      </w:r>
      <w:r>
        <w:t xml:space="preserve"> first quarter of 2016, Ethiopia indicated that forest degradation is not yet defined and preliminary literature review is still </w:t>
      </w:r>
      <w:proofErr w:type="spellStart"/>
      <w:r>
        <w:t>ongoing</w:t>
      </w:r>
      <w:proofErr w:type="spellEnd"/>
      <w:r>
        <w:t xml:space="preserve">. </w:t>
      </w:r>
      <w:r w:rsidR="00C13A6C">
        <w:t xml:space="preserve">In response to a question from the AT, </w:t>
      </w:r>
      <w:r w:rsidR="002162A2">
        <w:t xml:space="preserve">Ethiopia </w:t>
      </w:r>
      <w:r w:rsidR="00C13A6C">
        <w:t>advised that it expects to have information from its L</w:t>
      </w:r>
      <w:r w:rsidR="00B61FC0">
        <w:t xml:space="preserve">and Use Land Cover map on plantation areas within the next two months. </w:t>
      </w:r>
      <w:r w:rsidR="008859D2">
        <w:t xml:space="preserve">The AT commends Ethiopia for providing this information and continuing to work on improving its activity </w:t>
      </w:r>
      <w:proofErr w:type="spellStart"/>
      <w:r w:rsidR="008859D2">
        <w:t>data</w:t>
      </w:r>
      <w:r w:rsidR="00830AF1">
        <w:t>.</w:t>
      </w:r>
      <w:r w:rsidR="00B61FC0">
        <w:t>This</w:t>
      </w:r>
      <w:proofErr w:type="spellEnd"/>
      <w:r w:rsidR="00B61FC0">
        <w:t xml:space="preserve"> information could be </w:t>
      </w:r>
      <w:r w:rsidR="00830AF1">
        <w:t>useful in</w:t>
      </w:r>
      <w:r w:rsidR="00B61FC0">
        <w:t xml:space="preserve"> identify</w:t>
      </w:r>
      <w:r w:rsidR="00830AF1">
        <w:t>ing</w:t>
      </w:r>
      <w:r w:rsidR="00B61FC0">
        <w:t xml:space="preserve"> where natural forests are being </w:t>
      </w:r>
      <w:r w:rsidR="00B61FC0">
        <w:lastRenderedPageBreak/>
        <w:t xml:space="preserve">converted to another vegetation type </w:t>
      </w:r>
      <w:r w:rsidR="002162A2">
        <w:t>that meets the forest definition (e.g. planted forest or bamboo)</w:t>
      </w:r>
      <w:r w:rsidR="004D4931">
        <w:t xml:space="preserve">, </w:t>
      </w:r>
      <w:r w:rsidR="00830AF1">
        <w:t xml:space="preserve">this </w:t>
      </w:r>
      <w:r w:rsidR="004D4931">
        <w:t>being a form of degradation</w:t>
      </w:r>
      <w:r w:rsidR="002162A2">
        <w:t xml:space="preserve">. </w:t>
      </w:r>
      <w:r>
        <w:t xml:space="preserve">As degradation is a potentially significant activity, the AT considers it an area of </w:t>
      </w:r>
      <w:r w:rsidR="00622F1F">
        <w:t xml:space="preserve">technical </w:t>
      </w:r>
      <w:r>
        <w:t>improvement</w:t>
      </w:r>
      <w:r w:rsidR="00622F1F">
        <w:t>,</w:t>
      </w:r>
      <w:r>
        <w:t xml:space="preserve"> and that </w:t>
      </w:r>
      <w:r w:rsidR="00D73ECB">
        <w:t>it</w:t>
      </w:r>
      <w:r>
        <w:t xml:space="preserve"> would be useful to describe the work being undertaken, </w:t>
      </w:r>
      <w:r w:rsidR="00622F1F">
        <w:t>e.g. by providing</w:t>
      </w:r>
      <w:r>
        <w:t xml:space="preserve"> preliminary results and a road map for inclusion as an annex in any future modified submission</w:t>
      </w:r>
      <w:r w:rsidR="00D362E1">
        <w:t>.</w:t>
      </w:r>
    </w:p>
    <w:p w:rsidR="002B148E" w:rsidRPr="00993EBF" w:rsidRDefault="002B148E" w:rsidP="00993EBF">
      <w:pPr>
        <w:pStyle w:val="RegH23G"/>
      </w:pPr>
      <w:bookmarkStart w:id="19" w:name="_Toc404864971"/>
      <w:r w:rsidRPr="00993EBF">
        <w:t>Definition of forest</w:t>
      </w:r>
      <w:bookmarkEnd w:id="19"/>
    </w:p>
    <w:p w:rsidR="002B148E" w:rsidRPr="00993EBF" w:rsidRDefault="00E75BAC" w:rsidP="00F4398C">
      <w:pPr>
        <w:pStyle w:val="AnnoSingleTxtG"/>
      </w:pPr>
      <w:r>
        <w:t>Ethiopia</w:t>
      </w:r>
      <w:r w:rsidR="002B148E" w:rsidRPr="00993EBF">
        <w:t xml:space="preserve"> provided in its submission the definition of forest used in the construction of the </w:t>
      </w:r>
      <w:r w:rsidR="002B148E" w:rsidRPr="00FD3A38">
        <w:t>FREL</w:t>
      </w:r>
      <w:r w:rsidRPr="00FD3A38">
        <w:t xml:space="preserve"> and </w:t>
      </w:r>
      <w:r w:rsidR="006A6F75" w:rsidRPr="00FD3A38">
        <w:t>FRL</w:t>
      </w:r>
      <w:r w:rsidR="00240B17">
        <w:t xml:space="preserve"> (</w:t>
      </w:r>
      <w:proofErr w:type="spellStart"/>
      <w:r w:rsidR="00240B17">
        <w:t>i.e</w:t>
      </w:r>
      <w:proofErr w:type="spellEnd"/>
      <w:r w:rsidR="00240B17">
        <w:t xml:space="preserve"> minimum area of 0.5ha, height of 2m or more and at least 20 per cent canopy cover</w:t>
      </w:r>
      <w:r w:rsidR="003343F9">
        <w:t>)</w:t>
      </w:r>
      <w:r w:rsidR="002B148E" w:rsidRPr="00993EBF">
        <w:t xml:space="preserve">. </w:t>
      </w:r>
      <w:r>
        <w:t>The</w:t>
      </w:r>
      <w:r w:rsidR="002B148E" w:rsidRPr="00993EBF">
        <w:t xml:space="preserve"> </w:t>
      </w:r>
      <w:proofErr w:type="spellStart"/>
      <w:r w:rsidR="002B148E" w:rsidRPr="00993EBF">
        <w:t>definition</w:t>
      </w:r>
      <w:r>
        <w:t>,adopted</w:t>
      </w:r>
      <w:proofErr w:type="spellEnd"/>
      <w:r>
        <w:t xml:space="preserve"> in February 2015, differs from t</w:t>
      </w:r>
      <w:r w:rsidR="002B148E" w:rsidRPr="00993EBF">
        <w:t xml:space="preserve">he one that the Party uses in </w:t>
      </w:r>
      <w:r w:rsidRPr="003343F9">
        <w:t xml:space="preserve">both </w:t>
      </w:r>
      <w:r w:rsidR="002B148E" w:rsidRPr="003343F9">
        <w:t>its national GHG inventory</w:t>
      </w:r>
      <w:r w:rsidRPr="003343F9">
        <w:t xml:space="preserve"> and </w:t>
      </w:r>
      <w:r w:rsidR="006A6F75" w:rsidRPr="003343F9">
        <w:t>its reporting to the FAO FRA</w:t>
      </w:r>
      <w:r w:rsidR="002B148E" w:rsidRPr="003343F9">
        <w:t xml:space="preserve"> (i.e.</w:t>
      </w:r>
      <w:r w:rsidR="002B148E" w:rsidRPr="00993EBF">
        <w:t xml:space="preserve"> minimum area of </w:t>
      </w:r>
      <w:r w:rsidR="00240B17">
        <w:t>0.5</w:t>
      </w:r>
      <w:r w:rsidR="002B148E" w:rsidRPr="00993EBF">
        <w:t xml:space="preserve"> ha</w:t>
      </w:r>
      <w:r w:rsidR="003D0856" w:rsidRPr="00993EBF">
        <w:t>,</w:t>
      </w:r>
      <w:r w:rsidR="002B148E" w:rsidRPr="00993EBF">
        <w:t xml:space="preserve"> height of </w:t>
      </w:r>
      <w:r w:rsidR="00240B17">
        <w:t>5</w:t>
      </w:r>
      <w:r w:rsidR="002B148E" w:rsidRPr="00993EBF">
        <w:t xml:space="preserve"> m or more and at l</w:t>
      </w:r>
      <w:r w:rsidR="00566980" w:rsidRPr="00993EBF">
        <w:t xml:space="preserve">east </w:t>
      </w:r>
      <w:r w:rsidR="00240B17">
        <w:t>10</w:t>
      </w:r>
      <w:r w:rsidR="00566980" w:rsidRPr="00993EBF">
        <w:t xml:space="preserve"> per cent canopy cover).</w:t>
      </w:r>
      <w:r w:rsidR="00E42073">
        <w:t xml:space="preserve"> The new definition </w:t>
      </w:r>
      <w:r w:rsidR="00BC052F">
        <w:t xml:space="preserve">enables the inclusion of dense woodland </w:t>
      </w:r>
      <w:r w:rsidR="00E42073">
        <w:t xml:space="preserve">areas </w:t>
      </w:r>
      <w:r w:rsidR="00BC052F">
        <w:t>that are under pressure from agricultural expansion, and the exclusion of highly degraded forests</w:t>
      </w:r>
      <w:r w:rsidR="00CD631F">
        <w:t xml:space="preserve"> as well as inc</w:t>
      </w:r>
      <w:r w:rsidR="00BC052F">
        <w:t>re</w:t>
      </w:r>
      <w:r w:rsidR="00CD631F">
        <w:t>a</w:t>
      </w:r>
      <w:r w:rsidR="00BC052F">
        <w:t xml:space="preserve">sing the minimum area to align with the minimum mapping </w:t>
      </w:r>
      <w:proofErr w:type="spellStart"/>
      <w:r w:rsidR="00BC052F">
        <w:t>unit.</w:t>
      </w:r>
      <w:r w:rsidR="0004089B" w:rsidRPr="00AE7D40">
        <w:t>Ethiopia</w:t>
      </w:r>
      <w:proofErr w:type="spellEnd"/>
      <w:r w:rsidR="0004089B" w:rsidRPr="00AE7D40">
        <w:t xml:space="preserve"> explained that future GHG inventory reporting in the biennial update report (BUR) will use the improved data and new forest definition and full consistency will be </w:t>
      </w:r>
      <w:r w:rsidR="0004089B" w:rsidRPr="00F412B3">
        <w:t>ensured with both the FREL and the FRL</w:t>
      </w:r>
      <w:r w:rsidR="0004089B" w:rsidRPr="00F412B3">
        <w:rPr>
          <w:lang w:val="en-US"/>
        </w:rPr>
        <w:t>.</w:t>
      </w:r>
    </w:p>
    <w:p w:rsidR="002B148E" w:rsidRPr="00993EBF" w:rsidRDefault="002B148E" w:rsidP="002B148E">
      <w:pPr>
        <w:pStyle w:val="RegHChG"/>
      </w:pPr>
      <w:bookmarkStart w:id="20" w:name="_Toc403571668"/>
      <w:bookmarkStart w:id="21" w:name="_Toc404864972"/>
      <w:bookmarkStart w:id="22" w:name="_Toc405125605"/>
      <w:r w:rsidRPr="00993EBF">
        <w:t>Conclusions</w:t>
      </w:r>
      <w:bookmarkEnd w:id="20"/>
      <w:bookmarkEnd w:id="21"/>
      <w:bookmarkEnd w:id="22"/>
    </w:p>
    <w:p w:rsidR="002B148E" w:rsidRPr="00F412B3" w:rsidRDefault="002B148E" w:rsidP="00F4398C">
      <w:pPr>
        <w:pStyle w:val="AnnoSingleTxtG"/>
      </w:pPr>
      <w:r w:rsidRPr="00F412B3">
        <w:t xml:space="preserve">The information used by </w:t>
      </w:r>
      <w:r w:rsidR="00CD631F" w:rsidRPr="00F412B3">
        <w:t xml:space="preserve">Ethiopia </w:t>
      </w:r>
      <w:r w:rsidRPr="00F412B3">
        <w:t>in constructing its FREL</w:t>
      </w:r>
      <w:r w:rsidR="00E232BC" w:rsidRPr="00F412B3">
        <w:t>/FRL</w:t>
      </w:r>
      <w:r w:rsidRPr="00F412B3">
        <w:t xml:space="preserve"> for </w:t>
      </w:r>
      <w:r w:rsidR="00CD631F" w:rsidRPr="00F412B3">
        <w:t>deforestation and enhancement of forest stocks</w:t>
      </w:r>
      <w:r w:rsidRPr="00F412B3">
        <w:t xml:space="preserve"> is </w:t>
      </w:r>
      <w:r w:rsidR="004038A9" w:rsidRPr="00F412B3">
        <w:t xml:space="preserve">mostly </w:t>
      </w:r>
      <w:r w:rsidRPr="00F412B3">
        <w:t xml:space="preserve">transparent and complete and is in </w:t>
      </w:r>
      <w:r w:rsidR="003D0856" w:rsidRPr="00F412B3">
        <w:t xml:space="preserve">overall </w:t>
      </w:r>
      <w:r w:rsidRPr="00F412B3">
        <w:t>accordance with the guidelines for submission of information on FREL</w:t>
      </w:r>
      <w:r w:rsidR="003D0856" w:rsidRPr="00F412B3">
        <w:t>s</w:t>
      </w:r>
      <w:r w:rsidR="00E72A1F" w:rsidRPr="00F412B3">
        <w:t>/FRLs</w:t>
      </w:r>
      <w:r w:rsidRPr="00F412B3">
        <w:t xml:space="preserve"> (as contained in the annex to </w:t>
      </w:r>
      <w:r w:rsidR="00566980" w:rsidRPr="00F412B3">
        <w:t>d</w:t>
      </w:r>
      <w:r w:rsidRPr="00F412B3">
        <w:t>ecision 12/CP.17).</w:t>
      </w:r>
    </w:p>
    <w:p w:rsidR="002B148E" w:rsidRPr="00F412B3" w:rsidRDefault="002B148E" w:rsidP="00F4398C">
      <w:pPr>
        <w:pStyle w:val="AnnoSingleTxtG"/>
      </w:pPr>
      <w:r w:rsidRPr="00F412B3">
        <w:t xml:space="preserve">The AT acknowledges that </w:t>
      </w:r>
      <w:r w:rsidR="00E14EF1" w:rsidRPr="00F412B3">
        <w:t>Ethiopia</w:t>
      </w:r>
      <w:r w:rsidRPr="00F412B3">
        <w:t xml:space="preserve"> included in the </w:t>
      </w:r>
      <w:r w:rsidR="00E72A1F" w:rsidRPr="00F412B3">
        <w:t xml:space="preserve">FREL/FRL </w:t>
      </w:r>
      <w:r w:rsidRPr="00F412B3">
        <w:t>the most significant activity and the most significant pools in terms of emissions from forests. In doing so, the AT considers that</w:t>
      </w:r>
      <w:r w:rsidR="00E14EF1" w:rsidRPr="00F412B3">
        <w:t xml:space="preserve"> Ethiopia</w:t>
      </w:r>
      <w:r w:rsidRPr="00F412B3">
        <w:t xml:space="preserve"> followed </w:t>
      </w:r>
      <w:r w:rsidR="00566980" w:rsidRPr="00F412B3">
        <w:t>d</w:t>
      </w:r>
      <w:r w:rsidRPr="00F412B3">
        <w:t>ecision 1/CP.16, paragraph 70</w:t>
      </w:r>
      <w:r w:rsidR="003D0856" w:rsidRPr="00F412B3">
        <w:t>,</w:t>
      </w:r>
      <w:r w:rsidRPr="00F412B3">
        <w:t xml:space="preserve"> on activities undertaken</w:t>
      </w:r>
      <w:r w:rsidR="003D0856" w:rsidRPr="00F412B3">
        <w:t>,</w:t>
      </w:r>
      <w:r w:rsidRPr="00F412B3">
        <w:t xml:space="preserve"> and </w:t>
      </w:r>
      <w:r w:rsidR="00566980" w:rsidRPr="00F412B3">
        <w:t>d</w:t>
      </w:r>
      <w:r w:rsidRPr="00F412B3">
        <w:t xml:space="preserve">ecision 12/CP.17, paragraph 10, on implementing a step-wise approach. The AT commends </w:t>
      </w:r>
      <w:r w:rsidR="00780332" w:rsidRPr="00F412B3">
        <w:t>Ethiopia</w:t>
      </w:r>
      <w:r w:rsidRPr="00F412B3">
        <w:t xml:space="preserve"> for the information provided on the </w:t>
      </w:r>
      <w:proofErr w:type="spellStart"/>
      <w:r w:rsidRPr="00F412B3">
        <w:t>ongoing</w:t>
      </w:r>
      <w:proofErr w:type="spellEnd"/>
      <w:r w:rsidRPr="00F412B3">
        <w:t xml:space="preserve"> work </w:t>
      </w:r>
      <w:r w:rsidR="003D0856" w:rsidRPr="00F412B3">
        <w:t xml:space="preserve">into </w:t>
      </w:r>
      <w:r w:rsidRPr="00F412B3">
        <w:t xml:space="preserve">the development of </w:t>
      </w:r>
      <w:r w:rsidR="00E72A1F" w:rsidRPr="00F412B3">
        <w:t>FRELs/FRLs</w:t>
      </w:r>
      <w:r w:rsidRPr="00F412B3">
        <w:t xml:space="preserve"> for other activities.</w:t>
      </w:r>
    </w:p>
    <w:p w:rsidR="002B148E" w:rsidRPr="00F412B3" w:rsidRDefault="00CC3AD5" w:rsidP="00F4398C">
      <w:pPr>
        <w:pStyle w:val="AnnoSingleTxtG"/>
      </w:pPr>
      <w:commentRangeStart w:id="23"/>
      <w:r>
        <w:t>[</w:t>
      </w:r>
      <w:r w:rsidR="002B148E" w:rsidRPr="00F412B3">
        <w:t xml:space="preserve">As a result of the facilitative interactions with the AT during the </w:t>
      </w:r>
      <w:r w:rsidR="00D810F8" w:rsidRPr="00F412B3">
        <w:t>TA</w:t>
      </w:r>
      <w:r w:rsidR="002B148E" w:rsidRPr="00F412B3">
        <w:t xml:space="preserve"> session, </w:t>
      </w:r>
      <w:r w:rsidR="00780332" w:rsidRPr="00F412B3">
        <w:t>Ethiopia</w:t>
      </w:r>
      <w:r w:rsidR="002B148E" w:rsidRPr="00F412B3">
        <w:t xml:space="preserve"> submitted a modified submission that took into consideration the technical inputs by the AT. The AT notes that the transparency and completeness of information improved significantly in the modified </w:t>
      </w:r>
      <w:r w:rsidR="00E72A1F" w:rsidRPr="00F412B3">
        <w:t>FREL/</w:t>
      </w:r>
      <w:proofErr w:type="spellStart"/>
      <w:r w:rsidR="00E72A1F" w:rsidRPr="00F412B3">
        <w:t>FRL</w:t>
      </w:r>
      <w:r w:rsidR="002B148E" w:rsidRPr="00F412B3">
        <w:t>submission</w:t>
      </w:r>
      <w:proofErr w:type="spellEnd"/>
      <w:r w:rsidR="002B148E" w:rsidRPr="00F412B3">
        <w:t xml:space="preserve">, </w:t>
      </w:r>
      <w:r w:rsidR="0080674A" w:rsidRPr="00F412B3">
        <w:t>[</w:t>
      </w:r>
      <w:r w:rsidR="002B148E" w:rsidRPr="00F412B3">
        <w:t xml:space="preserve">without the need to alter the approach </w:t>
      </w:r>
      <w:r w:rsidR="00641438" w:rsidRPr="00F412B3">
        <w:t xml:space="preserve">or values </w:t>
      </w:r>
      <w:r w:rsidR="002B148E" w:rsidRPr="00F412B3">
        <w:t>used to construct the FREL,</w:t>
      </w:r>
      <w:r w:rsidR="0080674A" w:rsidRPr="00F412B3">
        <w:t>]</w:t>
      </w:r>
      <w:r w:rsidR="002B148E" w:rsidRPr="00F412B3">
        <w:t xml:space="preserve"> and commends </w:t>
      </w:r>
      <w:r>
        <w:t>Ethiopia</w:t>
      </w:r>
      <w:r w:rsidR="002B148E" w:rsidRPr="00F412B3">
        <w:t xml:space="preserve"> for the efforts </w:t>
      </w:r>
      <w:r w:rsidR="00B93562" w:rsidRPr="00F412B3">
        <w:t>made</w:t>
      </w:r>
      <w:r w:rsidR="002B148E" w:rsidRPr="00F412B3">
        <w:t xml:space="preserve">. The new information provided in the modified submission, </w:t>
      </w:r>
      <w:r w:rsidR="0080674A" w:rsidRPr="00F412B3">
        <w:t>[</w:t>
      </w:r>
      <w:r w:rsidR="002B148E" w:rsidRPr="00F412B3">
        <w:t xml:space="preserve">including through the data made available </w:t>
      </w:r>
      <w:r w:rsidR="002D2069" w:rsidRPr="00F412B3">
        <w:t xml:space="preserve">on </w:t>
      </w:r>
      <w:r w:rsidR="002B148E" w:rsidRPr="00F412B3">
        <w:t>websites</w:t>
      </w:r>
      <w:r w:rsidR="002B148E" w:rsidRPr="00F412B3">
        <w:rPr>
          <w:vertAlign w:val="superscript"/>
        </w:rPr>
        <w:footnoteReference w:id="14"/>
      </w:r>
      <w:r w:rsidR="002B148E" w:rsidRPr="00F412B3">
        <w:t xml:space="preserve"> and the examples on how estimates of </w:t>
      </w:r>
      <w:r w:rsidR="00641438" w:rsidRPr="00F412B3">
        <w:t>CO</w:t>
      </w:r>
      <w:r w:rsidR="00641438" w:rsidRPr="00F412B3">
        <w:rPr>
          <w:vertAlign w:val="subscript"/>
        </w:rPr>
        <w:t>2</w:t>
      </w:r>
      <w:r w:rsidR="00641438" w:rsidRPr="00F412B3">
        <w:t xml:space="preserve"> emissions from </w:t>
      </w:r>
      <w:r w:rsidR="002B148E" w:rsidRPr="00F412B3">
        <w:t>deforestation were calculated,</w:t>
      </w:r>
      <w:r w:rsidR="0080674A" w:rsidRPr="00F412B3">
        <w:t>]</w:t>
      </w:r>
      <w:r w:rsidR="002B148E" w:rsidRPr="00F412B3">
        <w:t xml:space="preserve"> increased the reproducibility of </w:t>
      </w:r>
      <w:r w:rsidR="00E72A1F" w:rsidRPr="00F412B3">
        <w:t>FREL/FRL</w:t>
      </w:r>
      <w:r>
        <w:t xml:space="preserve"> calculations.]</w:t>
      </w:r>
      <w:commentRangeEnd w:id="23"/>
      <w:r w:rsidR="004B6C31">
        <w:rPr>
          <w:rStyle w:val="CommentReference"/>
        </w:rPr>
        <w:commentReference w:id="23"/>
      </w:r>
    </w:p>
    <w:p w:rsidR="002B148E" w:rsidRPr="00F412B3" w:rsidRDefault="002B148E" w:rsidP="00F4398C">
      <w:pPr>
        <w:pStyle w:val="AnnoSingleTxtG"/>
      </w:pPr>
      <w:r w:rsidRPr="00F412B3">
        <w:t xml:space="preserve">Pursuant to paragraph 3 of the annex to </w:t>
      </w:r>
      <w:r w:rsidR="008A004A" w:rsidRPr="00F412B3">
        <w:t>d</w:t>
      </w:r>
      <w:r w:rsidRPr="00F412B3">
        <w:t>ecision 13/CP.19, the AT identified the following areas for future technical improvement:</w:t>
      </w:r>
    </w:p>
    <w:p w:rsidR="0080674A" w:rsidRPr="00533BC0" w:rsidRDefault="00780332" w:rsidP="00F4398C">
      <w:pPr>
        <w:pStyle w:val="AnnoSingleTxtG"/>
        <w:numPr>
          <w:ilvl w:val="4"/>
          <w:numId w:val="3"/>
        </w:numPr>
      </w:pPr>
      <w:r w:rsidRPr="00533BC0">
        <w:t>Reducing uncer</w:t>
      </w:r>
      <w:r w:rsidR="00F96CB5" w:rsidRPr="00533BC0">
        <w:t>tainties in estimating areas of deforestation</w:t>
      </w:r>
      <w:r w:rsidR="00E66489" w:rsidRPr="00533BC0">
        <w:t xml:space="preserve"> and afforestation;</w:t>
      </w:r>
    </w:p>
    <w:p w:rsidR="00F96CB5" w:rsidRPr="00533BC0" w:rsidRDefault="00F96CB5" w:rsidP="00F4398C">
      <w:pPr>
        <w:pStyle w:val="AnnoSingleTxtG"/>
        <w:numPr>
          <w:ilvl w:val="4"/>
          <w:numId w:val="3"/>
        </w:numPr>
      </w:pPr>
      <w:r w:rsidRPr="00533BC0">
        <w:t>Distinguishing temporary loss of tree cove</w:t>
      </w:r>
      <w:r w:rsidR="00E66489" w:rsidRPr="00533BC0">
        <w:t>r from deforestation activities;</w:t>
      </w:r>
    </w:p>
    <w:p w:rsidR="00533BC0" w:rsidRPr="00533BC0" w:rsidRDefault="00533BC0" w:rsidP="00533BC0">
      <w:pPr>
        <w:pStyle w:val="AnnoSingleTxtG"/>
        <w:numPr>
          <w:ilvl w:val="4"/>
          <w:numId w:val="3"/>
        </w:numPr>
      </w:pPr>
      <w:r w:rsidRPr="00533BC0">
        <w:t>Applying an annual increment or method that does not over estimate removals to estimate carbon stock change from afforestation activities;</w:t>
      </w:r>
    </w:p>
    <w:p w:rsidR="00E725AF" w:rsidRPr="00533BC0" w:rsidRDefault="00E725AF" w:rsidP="00F4398C">
      <w:pPr>
        <w:pStyle w:val="AnnoSingleTxtG"/>
        <w:numPr>
          <w:ilvl w:val="4"/>
          <w:numId w:val="3"/>
        </w:numPr>
      </w:pPr>
      <w:r w:rsidRPr="00533BC0">
        <w:lastRenderedPageBreak/>
        <w:t>Ensuring change estimates for biomes are based on national data rather than the changes that occ</w:t>
      </w:r>
      <w:r w:rsidR="00E66489" w:rsidRPr="00533BC0">
        <w:t xml:space="preserve">urred in the </w:t>
      </w:r>
      <w:proofErr w:type="spellStart"/>
      <w:r w:rsidR="00E66489" w:rsidRPr="00533BC0">
        <w:t>Oromia</w:t>
      </w:r>
      <w:proofErr w:type="spellEnd"/>
      <w:r w:rsidR="00E66489" w:rsidRPr="00533BC0">
        <w:t xml:space="preserve"> Region only;</w:t>
      </w:r>
    </w:p>
    <w:p w:rsidR="00DE4316" w:rsidRPr="00533BC0" w:rsidRDefault="00621FD7" w:rsidP="00F4398C">
      <w:pPr>
        <w:pStyle w:val="AnnoSingleTxtG"/>
        <w:numPr>
          <w:ilvl w:val="4"/>
          <w:numId w:val="3"/>
        </w:numPr>
      </w:pPr>
      <w:r w:rsidRPr="00533BC0">
        <w:t xml:space="preserve">Replacing emission factors based on the </w:t>
      </w:r>
      <w:proofErr w:type="spellStart"/>
      <w:r w:rsidRPr="00533BC0">
        <w:t>Oromia</w:t>
      </w:r>
      <w:proofErr w:type="spellEnd"/>
      <w:r w:rsidRPr="00533BC0">
        <w:t xml:space="preserve"> Region with national emission factors</w:t>
      </w:r>
      <w:r w:rsidR="00E66489" w:rsidRPr="00533BC0">
        <w:t>;</w:t>
      </w:r>
    </w:p>
    <w:p w:rsidR="00533BC0" w:rsidRPr="00533BC0" w:rsidRDefault="00533BC0" w:rsidP="00533BC0">
      <w:pPr>
        <w:pStyle w:val="AnnoSingleTxtG"/>
        <w:numPr>
          <w:ilvl w:val="4"/>
          <w:numId w:val="3"/>
        </w:numPr>
      </w:pPr>
      <w:r w:rsidRPr="00533BC0">
        <w:t>Updating carbon fractions to align with the 2006 IPCC Guidelines;</w:t>
      </w:r>
    </w:p>
    <w:p w:rsidR="003C6E2A" w:rsidRPr="00696BFE" w:rsidRDefault="000B69A4" w:rsidP="00F4398C">
      <w:pPr>
        <w:pStyle w:val="AnnoSingleTxtG"/>
        <w:numPr>
          <w:ilvl w:val="4"/>
          <w:numId w:val="3"/>
        </w:numPr>
      </w:pPr>
      <w:r w:rsidRPr="00696BFE">
        <w:t>Updating the NFI if necessary due to the change in forest definition to ensure emission factors are not biased</w:t>
      </w:r>
      <w:r w:rsidR="00E66489" w:rsidRPr="00696BFE">
        <w:t>;</w:t>
      </w:r>
    </w:p>
    <w:p w:rsidR="00533BC0" w:rsidRPr="00533BC0" w:rsidRDefault="00533BC0" w:rsidP="00533BC0">
      <w:pPr>
        <w:pStyle w:val="AnnoSingleTxtG"/>
        <w:numPr>
          <w:ilvl w:val="4"/>
          <w:numId w:val="3"/>
        </w:numPr>
      </w:pPr>
      <w:r w:rsidRPr="00533BC0">
        <w:t>Improving secondary data sources for validating NFI results</w:t>
      </w:r>
      <w:r>
        <w:t xml:space="preserve"> and quality assurance</w:t>
      </w:r>
      <w:r w:rsidRPr="00533BC0">
        <w:t>;</w:t>
      </w:r>
    </w:p>
    <w:p w:rsidR="002B148E" w:rsidRPr="00696BFE" w:rsidRDefault="00737D16" w:rsidP="00F4398C">
      <w:pPr>
        <w:pStyle w:val="AnnoSingleTxtG"/>
        <w:numPr>
          <w:ilvl w:val="4"/>
          <w:numId w:val="3"/>
        </w:numPr>
      </w:pPr>
      <w:r w:rsidRPr="00696BFE">
        <w:t xml:space="preserve">Estimation of </w:t>
      </w:r>
      <w:r w:rsidR="00347AC7" w:rsidRPr="00696BFE">
        <w:t>emissions from forest degradation.</w:t>
      </w:r>
    </w:p>
    <w:p w:rsidR="002B148E" w:rsidRPr="00F412B3" w:rsidRDefault="002B148E" w:rsidP="00F4398C">
      <w:pPr>
        <w:pStyle w:val="AnnoSingleTxtG"/>
      </w:pPr>
      <w:r w:rsidRPr="00F412B3">
        <w:t xml:space="preserve">In assessing the pools and the gases included in the </w:t>
      </w:r>
      <w:r w:rsidR="0080674A" w:rsidRPr="00F412B3">
        <w:rPr>
          <w:lang w:val="en-US"/>
        </w:rPr>
        <w:t>FREL/FRL</w:t>
      </w:r>
      <w:r w:rsidRPr="00F412B3">
        <w:t xml:space="preserve">, pursuant to paragraph 2(f) of the annex to </w:t>
      </w:r>
      <w:r w:rsidR="008A004A" w:rsidRPr="00F412B3">
        <w:t>d</w:t>
      </w:r>
      <w:r w:rsidRPr="00F412B3">
        <w:t xml:space="preserve">ecision 13/CP.19, the AT notes that the current omissions of pools and gases is likely </w:t>
      </w:r>
      <w:r w:rsidR="000941F2" w:rsidRPr="00F412B3">
        <w:t xml:space="preserve">to be </w:t>
      </w:r>
      <w:r w:rsidRPr="00F412B3">
        <w:t xml:space="preserve">conservative in the context of the </w:t>
      </w:r>
      <w:r w:rsidR="0080674A" w:rsidRPr="00F412B3">
        <w:rPr>
          <w:lang w:val="en-US"/>
        </w:rPr>
        <w:t>FREL/FRL</w:t>
      </w:r>
      <w:r w:rsidRPr="00F412B3">
        <w:t>. Nevertheless, the AT identified the following additional areas for future technical improvement:</w:t>
      </w:r>
    </w:p>
    <w:p w:rsidR="00347AC7" w:rsidRPr="00F412B3" w:rsidRDefault="002B148E" w:rsidP="00F4398C">
      <w:pPr>
        <w:pStyle w:val="AnnoSingleTxtG"/>
        <w:numPr>
          <w:ilvl w:val="4"/>
          <w:numId w:val="3"/>
        </w:numPr>
      </w:pPr>
      <w:r w:rsidRPr="00F412B3">
        <w:t xml:space="preserve">Treatment of emissions from </w:t>
      </w:r>
      <w:r w:rsidR="00347AC7" w:rsidRPr="00F412B3">
        <w:t>litter</w:t>
      </w:r>
      <w:r w:rsidR="008A004A" w:rsidRPr="00F412B3">
        <w:t>(</w:t>
      </w:r>
      <w:r w:rsidRPr="00F412B3">
        <w:t xml:space="preserve">i.e. the inclusion of this pool or the provision of more information </w:t>
      </w:r>
      <w:r w:rsidR="00D36019" w:rsidRPr="00F412B3">
        <w:t>o</w:t>
      </w:r>
      <w:r w:rsidRPr="00F412B3">
        <w:t>n the justification of its omission</w:t>
      </w:r>
      <w:r w:rsidR="008A004A" w:rsidRPr="00F412B3">
        <w:t>)</w:t>
      </w:r>
      <w:r w:rsidRPr="00F412B3">
        <w:t>;</w:t>
      </w:r>
    </w:p>
    <w:p w:rsidR="00347AC7" w:rsidRPr="00F412B3" w:rsidRDefault="00347AC7" w:rsidP="00F4398C">
      <w:pPr>
        <w:pStyle w:val="AnnoSingleTxtG"/>
        <w:numPr>
          <w:ilvl w:val="4"/>
          <w:numId w:val="3"/>
        </w:numPr>
      </w:pPr>
      <w:r w:rsidRPr="00F412B3">
        <w:t>Treatment of emissions from soil organic matter (i.e. the inclusion of this pool or the provision of more information on the justification of its omission);</w:t>
      </w:r>
    </w:p>
    <w:p w:rsidR="002B148E" w:rsidRPr="00F412B3" w:rsidRDefault="002B148E" w:rsidP="00F4398C">
      <w:pPr>
        <w:pStyle w:val="AnnoSingleTxtG"/>
        <w:numPr>
          <w:ilvl w:val="4"/>
          <w:numId w:val="3"/>
        </w:numPr>
      </w:pPr>
      <w:r w:rsidRPr="00F412B3">
        <w:t>Treatment of non-</w:t>
      </w:r>
      <w:r w:rsidR="00641438" w:rsidRPr="00F412B3">
        <w:t>CO</w:t>
      </w:r>
      <w:r w:rsidR="00641438" w:rsidRPr="00F412B3">
        <w:rPr>
          <w:vertAlign w:val="subscript"/>
        </w:rPr>
        <w:t>2</w:t>
      </w:r>
      <w:r w:rsidRPr="00F412B3">
        <w:t xml:space="preserve"> gases, to maintain consistency with the GHG inventory included in </w:t>
      </w:r>
      <w:r w:rsidR="000941F2" w:rsidRPr="00F412B3">
        <w:t xml:space="preserve">the </w:t>
      </w:r>
      <w:r w:rsidRPr="00F412B3">
        <w:t>national communication</w:t>
      </w:r>
      <w:r w:rsidR="00E66489" w:rsidRPr="00F412B3">
        <w:t>.</w:t>
      </w:r>
    </w:p>
    <w:p w:rsidR="002B148E" w:rsidRPr="00F412B3" w:rsidRDefault="002B148E" w:rsidP="00F4398C">
      <w:pPr>
        <w:pStyle w:val="AnnoSingleTxtG"/>
      </w:pPr>
      <w:r w:rsidRPr="00F412B3">
        <w:t xml:space="preserve">The AT acknowledges and welcomes the intention expressed by </w:t>
      </w:r>
      <w:r w:rsidR="00E66489" w:rsidRPr="00F412B3">
        <w:t>Ethiopia</w:t>
      </w:r>
      <w:r w:rsidR="000941F2" w:rsidRPr="00F412B3">
        <w:t xml:space="preserve"> to</w:t>
      </w:r>
      <w:r w:rsidRPr="00F412B3">
        <w:t>:</w:t>
      </w:r>
    </w:p>
    <w:p w:rsidR="002B148E" w:rsidRPr="00F412B3" w:rsidRDefault="00E66489" w:rsidP="00F4398C">
      <w:pPr>
        <w:pStyle w:val="AnnoSingleTxtG"/>
        <w:numPr>
          <w:ilvl w:val="4"/>
          <w:numId w:val="3"/>
        </w:numPr>
      </w:pPr>
      <w:r w:rsidRPr="00F412B3">
        <w:t>R</w:t>
      </w:r>
      <w:r w:rsidR="00AC0036" w:rsidRPr="00F412B3">
        <w:t xml:space="preserve">esearch forest </w:t>
      </w:r>
      <w:r w:rsidR="002B148E" w:rsidRPr="00F412B3">
        <w:t xml:space="preserve">degradation, in order to assess </w:t>
      </w:r>
      <w:r w:rsidR="0059086E" w:rsidRPr="00F412B3">
        <w:t xml:space="preserve">whether </w:t>
      </w:r>
      <w:r w:rsidR="002B148E" w:rsidRPr="00F412B3">
        <w:t xml:space="preserve">the reduction of deforestation is leading to </w:t>
      </w:r>
      <w:r w:rsidR="0059086E" w:rsidRPr="00F412B3">
        <w:t xml:space="preserve">the </w:t>
      </w:r>
      <w:r w:rsidR="002B148E" w:rsidRPr="00F412B3">
        <w:t xml:space="preserve">displacement of emissions, and to include emissions from degradation in future </w:t>
      </w:r>
      <w:r w:rsidR="00E72A1F" w:rsidRPr="00F412B3">
        <w:t>FREL/</w:t>
      </w:r>
      <w:proofErr w:type="spellStart"/>
      <w:r w:rsidR="00E72A1F" w:rsidRPr="00F412B3">
        <w:t>FRL</w:t>
      </w:r>
      <w:r w:rsidR="002B148E" w:rsidRPr="00F412B3">
        <w:t>submissions</w:t>
      </w:r>
      <w:proofErr w:type="spellEnd"/>
      <w:r w:rsidR="002B148E" w:rsidRPr="00F412B3">
        <w:t xml:space="preserve"> when new, adequate data and better information become available; </w:t>
      </w:r>
    </w:p>
    <w:p w:rsidR="002B148E" w:rsidRPr="00F412B3" w:rsidRDefault="002B148E" w:rsidP="00F4398C">
      <w:pPr>
        <w:pStyle w:val="AnnoSingleTxtG"/>
      </w:pPr>
      <w:r w:rsidRPr="00F412B3">
        <w:t xml:space="preserve">In conclusion, the AT commends </w:t>
      </w:r>
      <w:r w:rsidR="00AC0036" w:rsidRPr="00F412B3">
        <w:t>Ethiopia</w:t>
      </w:r>
      <w:r w:rsidRPr="00F412B3">
        <w:t xml:space="preserve"> for showing a strong commitment to continuous improve</w:t>
      </w:r>
      <w:r w:rsidR="000941F2" w:rsidRPr="00F412B3">
        <w:t>ment of</w:t>
      </w:r>
      <w:r w:rsidRPr="00F412B3">
        <w:t xml:space="preserve"> its </w:t>
      </w:r>
      <w:r w:rsidR="00E72A1F" w:rsidRPr="00F412B3">
        <w:t>FREL/</w:t>
      </w:r>
      <w:proofErr w:type="spellStart"/>
      <w:r w:rsidR="00E72A1F" w:rsidRPr="00F412B3">
        <w:t>FRL</w:t>
      </w:r>
      <w:r w:rsidRPr="00F412B3">
        <w:t>estimates</w:t>
      </w:r>
      <w:proofErr w:type="spellEnd"/>
      <w:r w:rsidRPr="00F412B3">
        <w:t xml:space="preserve">, in line with the step-wise approach. A number of areas for future technical improvements of </w:t>
      </w:r>
      <w:r w:rsidR="00AC0036" w:rsidRPr="00F412B3">
        <w:t>Ethiopia</w:t>
      </w:r>
      <w:r w:rsidRPr="00F412B3">
        <w:t xml:space="preserve">’s </w:t>
      </w:r>
      <w:r w:rsidR="00E72A1F" w:rsidRPr="00F412B3">
        <w:t>FREL/</w:t>
      </w:r>
      <w:proofErr w:type="spellStart"/>
      <w:r w:rsidR="00E72A1F" w:rsidRPr="00F412B3">
        <w:t>FRL</w:t>
      </w:r>
      <w:r w:rsidRPr="00F412B3">
        <w:t>have</w:t>
      </w:r>
      <w:proofErr w:type="spellEnd"/>
      <w:r w:rsidRPr="00F412B3">
        <w:t xml:space="preserve"> been identified in this report. At the same time, the AT acknowledges that these improvements are subject to national capabilities and polic</w:t>
      </w:r>
      <w:r w:rsidR="000941F2" w:rsidRPr="00F412B3">
        <w:t>ies,</w:t>
      </w:r>
      <w:r w:rsidRPr="00F412B3">
        <w:t xml:space="preserve"> and notes the importance of adequate and predictable support.</w:t>
      </w:r>
      <w:r w:rsidRPr="00F412B3">
        <w:rPr>
          <w:rStyle w:val="FootnoteReference"/>
        </w:rPr>
        <w:footnoteReference w:id="15"/>
      </w:r>
      <w:r w:rsidRPr="00F412B3">
        <w:t xml:space="preserve"> The AT also acknowledges that the assessment process was an opportunity for a rich, open, facilitative and constructive technical exchange of information with </w:t>
      </w:r>
      <w:r w:rsidR="00AC0036" w:rsidRPr="00F412B3">
        <w:t>Ethiopia</w:t>
      </w:r>
      <w:r w:rsidRPr="00F412B3">
        <w:t>.</w:t>
      </w:r>
    </w:p>
    <w:p w:rsidR="00B351E2" w:rsidRDefault="00B351E2">
      <w:pPr>
        <w:suppressAutoHyphens w:val="0"/>
        <w:spacing w:line="240" w:lineRule="auto"/>
        <w:rPr>
          <w:u w:val="single"/>
        </w:rPr>
      </w:pPr>
      <w:r>
        <w:rPr>
          <w:u w:val="single"/>
        </w:rPr>
        <w:br w:type="page"/>
      </w:r>
    </w:p>
    <w:p w:rsidR="003441DE" w:rsidRDefault="003441DE" w:rsidP="00D122DF">
      <w:pPr>
        <w:pStyle w:val="RegHChG"/>
        <w:numPr>
          <w:ilvl w:val="0"/>
          <w:numId w:val="0"/>
        </w:numPr>
      </w:pPr>
      <w:r>
        <w:lastRenderedPageBreak/>
        <w:t>Annex</w:t>
      </w:r>
    </w:p>
    <w:p w:rsidR="00B351E2" w:rsidRPr="00E062B8" w:rsidRDefault="00B351E2" w:rsidP="00B351E2">
      <w:pPr>
        <w:rPr>
          <w:rFonts w:ascii="Times" w:hAnsi="Times"/>
          <w:b/>
        </w:rPr>
      </w:pPr>
      <w:r w:rsidRPr="008F6338">
        <w:rPr>
          <w:rFonts w:ascii="Times" w:hAnsi="Times"/>
          <w:b/>
        </w:rPr>
        <w:t xml:space="preserve">Summary of main </w:t>
      </w:r>
      <w:r w:rsidRPr="00E062B8">
        <w:rPr>
          <w:rFonts w:ascii="Times" w:hAnsi="Times"/>
          <w:b/>
        </w:rPr>
        <w:t>features of the FREL/FRL proposed, based on the information provided by the country</w:t>
      </w:r>
    </w:p>
    <w:p w:rsidR="00B351E2" w:rsidRPr="00E062B8" w:rsidRDefault="00B351E2" w:rsidP="00B351E2">
      <w:pPr>
        <w:rPr>
          <w:rFonts w:ascii="Times" w:hAnsi="Times"/>
          <w:color w:val="FF0000"/>
          <w:sz w:val="22"/>
        </w:rPr>
      </w:pPr>
    </w:p>
    <w:tbl>
      <w:tblPr>
        <w:tblStyle w:val="TableGrid"/>
        <w:tblpPr w:leftFromText="180" w:rightFromText="180" w:vertAnchor="text" w:tblpX="1134" w:tblpY="1"/>
        <w:tblOverlap w:val="never"/>
        <w:tblW w:w="7630"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41"/>
        <w:gridCol w:w="1728"/>
        <w:gridCol w:w="3661"/>
      </w:tblGrid>
      <w:tr w:rsidR="00E02A54" w:rsidRPr="00E062B8" w:rsidTr="00533BC0">
        <w:trPr>
          <w:trHeight w:val="240"/>
          <w:tblHeader/>
        </w:trPr>
        <w:tc>
          <w:tcPr>
            <w:tcW w:w="3969" w:type="dxa"/>
            <w:gridSpan w:val="2"/>
            <w:tcBorders>
              <w:top w:val="single" w:sz="4" w:space="0" w:color="auto"/>
              <w:bottom w:val="single" w:sz="12" w:space="0" w:color="auto"/>
            </w:tcBorders>
            <w:shd w:val="clear" w:color="auto" w:fill="auto"/>
            <w:vAlign w:val="bottom"/>
          </w:tcPr>
          <w:p w:rsidR="00E02A54" w:rsidRPr="00E062B8" w:rsidRDefault="00E02A54" w:rsidP="00E75C5C">
            <w:pPr>
              <w:suppressAutoHyphens w:val="0"/>
              <w:spacing w:before="80" w:after="80" w:line="200" w:lineRule="exact"/>
              <w:jc w:val="center"/>
              <w:rPr>
                <w:i/>
                <w:sz w:val="16"/>
              </w:rPr>
            </w:pPr>
            <w:r w:rsidRPr="00E062B8">
              <w:rPr>
                <w:i/>
                <w:sz w:val="16"/>
              </w:rPr>
              <w:t>Main features of the FREL</w:t>
            </w:r>
            <w:r w:rsidR="00E75C5C">
              <w:rPr>
                <w:i/>
                <w:sz w:val="16"/>
              </w:rPr>
              <w:t>/FRL</w:t>
            </w:r>
          </w:p>
        </w:tc>
        <w:tc>
          <w:tcPr>
            <w:tcW w:w="3661" w:type="dxa"/>
            <w:tcBorders>
              <w:top w:val="single" w:sz="4" w:space="0" w:color="auto"/>
              <w:bottom w:val="single" w:sz="12" w:space="0" w:color="auto"/>
            </w:tcBorders>
            <w:shd w:val="clear" w:color="auto" w:fill="auto"/>
            <w:vAlign w:val="bottom"/>
          </w:tcPr>
          <w:p w:rsidR="00E02A54" w:rsidRPr="00E062B8" w:rsidRDefault="00E02A54" w:rsidP="00E75C5C">
            <w:pPr>
              <w:suppressAutoHyphens w:val="0"/>
              <w:spacing w:before="80" w:after="80" w:line="200" w:lineRule="exact"/>
              <w:rPr>
                <w:i/>
                <w:sz w:val="16"/>
              </w:rPr>
            </w:pPr>
            <w:r w:rsidRPr="00E062B8">
              <w:rPr>
                <w:i/>
                <w:sz w:val="16"/>
              </w:rPr>
              <w:t>Remarks</w:t>
            </w:r>
          </w:p>
        </w:tc>
      </w:tr>
      <w:tr w:rsidR="00E02A54" w:rsidRPr="00E062B8" w:rsidTr="00533BC0">
        <w:trPr>
          <w:trHeight w:hRule="exact" w:val="113"/>
          <w:tblHeader/>
        </w:trPr>
        <w:tc>
          <w:tcPr>
            <w:tcW w:w="2241" w:type="dxa"/>
            <w:tcBorders>
              <w:top w:val="single" w:sz="12" w:space="0" w:color="auto"/>
            </w:tcBorders>
            <w:shd w:val="clear" w:color="auto" w:fill="auto"/>
          </w:tcPr>
          <w:p w:rsidR="00E02A54" w:rsidRPr="00E062B8" w:rsidRDefault="00E02A54" w:rsidP="00E75C5C">
            <w:pPr>
              <w:suppressAutoHyphens w:val="0"/>
              <w:spacing w:before="40" w:after="120" w:line="220" w:lineRule="exact"/>
            </w:pPr>
          </w:p>
        </w:tc>
        <w:tc>
          <w:tcPr>
            <w:tcW w:w="1728" w:type="dxa"/>
            <w:tcBorders>
              <w:top w:val="single" w:sz="12" w:space="0" w:color="auto"/>
            </w:tcBorders>
            <w:shd w:val="clear" w:color="auto" w:fill="auto"/>
          </w:tcPr>
          <w:p w:rsidR="00E02A54" w:rsidRPr="00E062B8" w:rsidRDefault="00E02A54" w:rsidP="00E75C5C">
            <w:pPr>
              <w:suppressAutoHyphens w:val="0"/>
              <w:spacing w:before="40" w:after="120" w:line="220" w:lineRule="exact"/>
            </w:pPr>
          </w:p>
        </w:tc>
        <w:tc>
          <w:tcPr>
            <w:tcW w:w="3661" w:type="dxa"/>
            <w:tcBorders>
              <w:top w:val="single" w:sz="12" w:space="0" w:color="auto"/>
            </w:tcBorders>
            <w:shd w:val="clear" w:color="auto" w:fill="auto"/>
          </w:tcPr>
          <w:p w:rsidR="00E02A54" w:rsidRPr="00E062B8" w:rsidRDefault="00E02A54" w:rsidP="00E75C5C">
            <w:pPr>
              <w:suppressAutoHyphens w:val="0"/>
              <w:spacing w:before="40" w:after="120" w:line="220" w:lineRule="exact"/>
            </w:pPr>
          </w:p>
        </w:tc>
      </w:tr>
      <w:tr w:rsidR="00E02A54" w:rsidRPr="00E062B8" w:rsidTr="00533BC0">
        <w:trPr>
          <w:trHeight w:val="240"/>
        </w:trPr>
        <w:tc>
          <w:tcPr>
            <w:tcW w:w="2241" w:type="dxa"/>
            <w:shd w:val="clear" w:color="auto" w:fill="auto"/>
          </w:tcPr>
          <w:p w:rsidR="00E02A54" w:rsidRPr="00E062B8" w:rsidRDefault="00E02A54" w:rsidP="00E75C5C">
            <w:pPr>
              <w:suppressAutoHyphens w:val="0"/>
              <w:spacing w:before="40" w:after="120" w:line="220" w:lineRule="exact"/>
            </w:pPr>
            <w:r w:rsidRPr="00E062B8">
              <w:t xml:space="preserve">Proposed FREL </w:t>
            </w:r>
            <w:r w:rsidRPr="00E062B8">
              <w:br/>
              <w:t>(in t CO</w:t>
            </w:r>
            <w:r w:rsidRPr="00E062B8">
              <w:rPr>
                <w:vertAlign w:val="subscript"/>
              </w:rPr>
              <w:t>2</w:t>
            </w:r>
            <w:r w:rsidRPr="00E062B8">
              <w:t>eq/</w:t>
            </w:r>
            <w:proofErr w:type="spellStart"/>
            <w:r w:rsidRPr="00E062B8">
              <w:t>yr</w:t>
            </w:r>
            <w:proofErr w:type="spellEnd"/>
            <w:r w:rsidRPr="00E062B8">
              <w:t>)</w:t>
            </w:r>
          </w:p>
        </w:tc>
        <w:tc>
          <w:tcPr>
            <w:tcW w:w="1728" w:type="dxa"/>
            <w:shd w:val="clear" w:color="auto" w:fill="auto"/>
          </w:tcPr>
          <w:p w:rsidR="00E02A54" w:rsidRPr="00E062B8" w:rsidRDefault="00537EE7" w:rsidP="00E75C5C">
            <w:pPr>
              <w:suppressAutoHyphens w:val="0"/>
              <w:spacing w:before="40" w:after="120" w:line="220" w:lineRule="exact"/>
            </w:pPr>
            <w:r w:rsidRPr="00E062B8">
              <w:t>19 498 496</w:t>
            </w:r>
          </w:p>
        </w:tc>
        <w:tc>
          <w:tcPr>
            <w:tcW w:w="3661" w:type="dxa"/>
            <w:shd w:val="clear" w:color="auto" w:fill="auto"/>
          </w:tcPr>
          <w:p w:rsidR="00E02A54" w:rsidRPr="00E062B8" w:rsidRDefault="00E02A54" w:rsidP="00533BC0">
            <w:pPr>
              <w:suppressAutoHyphens w:val="0"/>
              <w:spacing w:before="40" w:after="120" w:line="220" w:lineRule="exact"/>
            </w:pPr>
            <w:r w:rsidRPr="00E062B8">
              <w:t xml:space="preserve">The FREL includes gross emissions from deforestation (i.e. those associated with </w:t>
            </w:r>
            <w:r w:rsidR="008C1E19" w:rsidRPr="00E062B8">
              <w:t>forest loss</w:t>
            </w:r>
            <w:r w:rsidRPr="00E062B8">
              <w:t xml:space="preserve"> and exclud</w:t>
            </w:r>
            <w:r w:rsidR="008C1E19" w:rsidRPr="00E062B8">
              <w:t>es</w:t>
            </w:r>
            <w:r w:rsidRPr="00E062B8">
              <w:t xml:space="preserve"> any subsequent emissions and removals from deforested areas) (</w:t>
            </w:r>
            <w:proofErr w:type="spellStart"/>
            <w:r w:rsidRPr="00E062B8">
              <w:t>para</w:t>
            </w:r>
            <w:proofErr w:type="spellEnd"/>
            <w:r w:rsidRPr="00E062B8">
              <w:t xml:space="preserve">. </w:t>
            </w:r>
            <w:r w:rsidR="00533BC0">
              <w:t>8</w:t>
            </w:r>
            <w:r w:rsidR="00533BC0" w:rsidRPr="00E062B8">
              <w:t>)</w:t>
            </w:r>
          </w:p>
        </w:tc>
      </w:tr>
      <w:tr w:rsidR="00E75C5C" w:rsidRPr="00E062B8" w:rsidTr="00533BC0">
        <w:trPr>
          <w:trHeight w:val="240"/>
        </w:trPr>
        <w:tc>
          <w:tcPr>
            <w:tcW w:w="2241" w:type="dxa"/>
            <w:shd w:val="clear" w:color="auto" w:fill="auto"/>
          </w:tcPr>
          <w:p w:rsidR="00E75C5C" w:rsidRPr="00E062B8" w:rsidRDefault="00E75C5C" w:rsidP="00E75C5C">
            <w:pPr>
              <w:suppressAutoHyphens w:val="0"/>
              <w:spacing w:before="40" w:after="120" w:line="220" w:lineRule="exact"/>
            </w:pPr>
            <w:r w:rsidRPr="00E062B8">
              <w:t xml:space="preserve">Proposed FRL </w:t>
            </w:r>
            <w:r w:rsidRPr="00E062B8">
              <w:br/>
              <w:t>(in t CO</w:t>
            </w:r>
            <w:r w:rsidRPr="00E062B8">
              <w:rPr>
                <w:vertAlign w:val="subscript"/>
              </w:rPr>
              <w:t>2</w:t>
            </w:r>
            <w:r w:rsidRPr="00E062B8">
              <w:t>eq/</w:t>
            </w:r>
            <w:proofErr w:type="spellStart"/>
            <w:r w:rsidRPr="00E062B8">
              <w:t>yr</w:t>
            </w:r>
            <w:proofErr w:type="spellEnd"/>
            <w:r w:rsidRPr="00E062B8">
              <w:t>)</w:t>
            </w:r>
          </w:p>
        </w:tc>
        <w:tc>
          <w:tcPr>
            <w:tcW w:w="1728" w:type="dxa"/>
            <w:shd w:val="clear" w:color="auto" w:fill="auto"/>
          </w:tcPr>
          <w:p w:rsidR="00E75C5C" w:rsidRPr="00E062B8" w:rsidRDefault="00533BC0" w:rsidP="00E75C5C">
            <w:pPr>
              <w:suppressAutoHyphens w:val="0"/>
              <w:spacing w:before="40" w:after="120" w:line="220" w:lineRule="exact"/>
            </w:pPr>
            <w:r w:rsidRPr="00332C38">
              <w:t>-10,247,080.97</w:t>
            </w:r>
          </w:p>
        </w:tc>
        <w:tc>
          <w:tcPr>
            <w:tcW w:w="3661" w:type="dxa"/>
            <w:shd w:val="clear" w:color="auto" w:fill="auto"/>
          </w:tcPr>
          <w:p w:rsidR="00E75C5C" w:rsidRPr="00E062B8" w:rsidRDefault="00E75C5C" w:rsidP="00533BC0">
            <w:pPr>
              <w:suppressAutoHyphens w:val="0"/>
              <w:spacing w:before="40" w:after="120" w:line="220" w:lineRule="exact"/>
            </w:pPr>
            <w:r w:rsidRPr="00E062B8">
              <w:t xml:space="preserve">The FRL </w:t>
            </w:r>
            <w:r w:rsidR="00533BC0" w:rsidRPr="00332C38">
              <w:t>is the annual average of the CO</w:t>
            </w:r>
            <w:r w:rsidR="00533BC0" w:rsidRPr="00332C38">
              <w:rPr>
                <w:vertAlign w:val="subscript"/>
              </w:rPr>
              <w:t>2</w:t>
            </w:r>
            <w:r w:rsidR="00533BC0" w:rsidRPr="00332C38">
              <w:t xml:space="preserve"> removals associated with adjusted estimates of afforestation or the enhancement of forest carbon stocks, defined </w:t>
            </w:r>
            <w:proofErr w:type="spellStart"/>
            <w:r w:rsidR="00533BC0" w:rsidRPr="00332C38">
              <w:t>asthe</w:t>
            </w:r>
            <w:proofErr w:type="spellEnd"/>
            <w:r w:rsidR="00533BC0" w:rsidRPr="00332C38">
              <w:t xml:space="preserve"> conversion of other land to forest land or any transition above the thresholds of the forest definition.</w:t>
            </w:r>
            <w:r w:rsidRPr="00E062B8">
              <w:t>(</w:t>
            </w:r>
            <w:proofErr w:type="spellStart"/>
            <w:r w:rsidRPr="00E062B8">
              <w:t>para</w:t>
            </w:r>
            <w:proofErr w:type="spellEnd"/>
            <w:r w:rsidRPr="00E062B8">
              <w:t xml:space="preserve">. </w:t>
            </w:r>
            <w:r w:rsidR="00533BC0">
              <w:t>8</w:t>
            </w:r>
            <w:r w:rsidR="00533BC0" w:rsidRPr="00E062B8">
              <w:t>)</w:t>
            </w:r>
          </w:p>
        </w:tc>
      </w:tr>
      <w:tr w:rsidR="00E02A54" w:rsidRPr="00E062B8" w:rsidTr="00533BC0">
        <w:trPr>
          <w:trHeight w:val="240"/>
        </w:trPr>
        <w:tc>
          <w:tcPr>
            <w:tcW w:w="2241" w:type="dxa"/>
            <w:shd w:val="clear" w:color="auto" w:fill="auto"/>
          </w:tcPr>
          <w:p w:rsidR="00E02A54" w:rsidRPr="00E062B8" w:rsidRDefault="00E02A54" w:rsidP="00E75C5C">
            <w:pPr>
              <w:suppressAutoHyphens w:val="0"/>
              <w:spacing w:before="40" w:after="120" w:line="220" w:lineRule="exact"/>
            </w:pPr>
            <w:r w:rsidRPr="00E062B8">
              <w:t xml:space="preserve">Type and duration of FREL </w:t>
            </w:r>
          </w:p>
        </w:tc>
        <w:tc>
          <w:tcPr>
            <w:tcW w:w="1728" w:type="dxa"/>
            <w:shd w:val="clear" w:color="auto" w:fill="auto"/>
          </w:tcPr>
          <w:p w:rsidR="00E02A54" w:rsidRPr="00E062B8" w:rsidRDefault="00E02A54" w:rsidP="00E75C5C">
            <w:pPr>
              <w:suppressAutoHyphens w:val="0"/>
              <w:spacing w:before="40" w:after="120" w:line="220" w:lineRule="exact"/>
            </w:pPr>
            <w:r w:rsidRPr="00E062B8">
              <w:rPr>
                <w:color w:val="000000" w:themeColor="text1"/>
              </w:rPr>
              <w:t xml:space="preserve">FREL = historical </w:t>
            </w:r>
            <w:r w:rsidR="00537EE7" w:rsidRPr="00E062B8">
              <w:rPr>
                <w:color w:val="000000" w:themeColor="text1"/>
              </w:rPr>
              <w:t>emissions 2000–2013</w:t>
            </w:r>
          </w:p>
        </w:tc>
        <w:tc>
          <w:tcPr>
            <w:tcW w:w="3661" w:type="dxa"/>
            <w:shd w:val="clear" w:color="auto" w:fill="auto"/>
          </w:tcPr>
          <w:p w:rsidR="00E02A54" w:rsidRPr="00E062B8" w:rsidRDefault="00E02A54" w:rsidP="00533BC0">
            <w:pPr>
              <w:suppressAutoHyphens w:val="0"/>
              <w:spacing w:before="40" w:after="120" w:line="220" w:lineRule="exact"/>
            </w:pPr>
            <w:r w:rsidRPr="00E062B8">
              <w:t>Estimate</w:t>
            </w:r>
            <w:r w:rsidR="00537EE7" w:rsidRPr="00E062B8">
              <w:t>s of deforestation for 1990–2013</w:t>
            </w:r>
            <w:r w:rsidRPr="00E062B8">
              <w:t xml:space="preserve"> reported for information purposes (</w:t>
            </w:r>
            <w:proofErr w:type="spellStart"/>
            <w:r w:rsidRPr="00E062B8">
              <w:t>para</w:t>
            </w:r>
            <w:proofErr w:type="spellEnd"/>
            <w:r w:rsidRPr="00E062B8">
              <w:t xml:space="preserve">. </w:t>
            </w:r>
            <w:r w:rsidR="00533BC0">
              <w:t>7</w:t>
            </w:r>
            <w:r w:rsidR="00533BC0" w:rsidRPr="00E062B8">
              <w:t>)</w:t>
            </w:r>
          </w:p>
        </w:tc>
      </w:tr>
      <w:tr w:rsidR="00E02A54" w:rsidRPr="00E062B8" w:rsidTr="00533BC0">
        <w:trPr>
          <w:trHeight w:val="240"/>
        </w:trPr>
        <w:tc>
          <w:tcPr>
            <w:tcW w:w="2241" w:type="dxa"/>
            <w:shd w:val="clear" w:color="auto" w:fill="auto"/>
          </w:tcPr>
          <w:p w:rsidR="00E02A54" w:rsidRPr="00E062B8" w:rsidRDefault="00E02A54" w:rsidP="00E75C5C">
            <w:pPr>
              <w:suppressAutoHyphens w:val="0"/>
              <w:spacing w:before="40" w:after="120" w:line="220" w:lineRule="exact"/>
            </w:pPr>
            <w:r w:rsidRPr="00E062B8">
              <w:t>Adjustment for national circumstances</w:t>
            </w:r>
          </w:p>
        </w:tc>
        <w:tc>
          <w:tcPr>
            <w:tcW w:w="1728" w:type="dxa"/>
            <w:shd w:val="clear" w:color="auto" w:fill="auto"/>
          </w:tcPr>
          <w:p w:rsidR="00E02A54" w:rsidRPr="00E062B8" w:rsidRDefault="00E02A54" w:rsidP="00E75C5C">
            <w:pPr>
              <w:suppressAutoHyphens w:val="0"/>
              <w:spacing w:before="40" w:after="120" w:line="220" w:lineRule="exact"/>
            </w:pPr>
            <w:r w:rsidRPr="00E062B8">
              <w:t xml:space="preserve">No </w:t>
            </w:r>
          </w:p>
        </w:tc>
        <w:tc>
          <w:tcPr>
            <w:tcW w:w="3661" w:type="dxa"/>
            <w:shd w:val="clear" w:color="auto" w:fill="auto"/>
          </w:tcPr>
          <w:p w:rsidR="00E02A54" w:rsidRPr="00E062B8" w:rsidRDefault="00E02A54" w:rsidP="00E75C5C">
            <w:pPr>
              <w:suppressAutoHyphens w:val="0"/>
              <w:spacing w:before="40" w:after="120" w:line="220" w:lineRule="exact"/>
            </w:pPr>
            <w:r w:rsidRPr="00E062B8">
              <w:t>-</w:t>
            </w:r>
          </w:p>
        </w:tc>
      </w:tr>
      <w:tr w:rsidR="00E02A54" w:rsidRPr="00E062B8" w:rsidTr="00533BC0">
        <w:trPr>
          <w:trHeight w:val="240"/>
        </w:trPr>
        <w:tc>
          <w:tcPr>
            <w:tcW w:w="2241" w:type="dxa"/>
            <w:shd w:val="clear" w:color="auto" w:fill="auto"/>
          </w:tcPr>
          <w:p w:rsidR="00E02A54" w:rsidRPr="00E062B8" w:rsidRDefault="00E02A54" w:rsidP="00E75C5C">
            <w:pPr>
              <w:suppressAutoHyphens w:val="0"/>
              <w:spacing w:before="40" w:after="120" w:line="220" w:lineRule="exact"/>
            </w:pPr>
            <w:r w:rsidRPr="00E062B8">
              <w:t>National/</w:t>
            </w:r>
            <w:proofErr w:type="spellStart"/>
            <w:r w:rsidRPr="00E062B8">
              <w:t>subnational</w:t>
            </w:r>
            <w:r w:rsidRPr="00E062B8">
              <w:rPr>
                <w:i/>
                <w:vertAlign w:val="superscript"/>
              </w:rPr>
              <w:t>a</w:t>
            </w:r>
            <w:proofErr w:type="spellEnd"/>
          </w:p>
        </w:tc>
        <w:tc>
          <w:tcPr>
            <w:tcW w:w="1728" w:type="dxa"/>
            <w:shd w:val="clear" w:color="auto" w:fill="auto"/>
          </w:tcPr>
          <w:p w:rsidR="00E02A54" w:rsidRPr="00E062B8" w:rsidRDefault="00E02A54" w:rsidP="00E75C5C">
            <w:pPr>
              <w:suppressAutoHyphens w:val="0"/>
              <w:spacing w:before="40" w:after="120" w:line="220" w:lineRule="exact"/>
            </w:pPr>
            <w:r w:rsidRPr="00E062B8">
              <w:t>National</w:t>
            </w:r>
          </w:p>
        </w:tc>
        <w:tc>
          <w:tcPr>
            <w:tcW w:w="3661" w:type="dxa"/>
            <w:shd w:val="clear" w:color="auto" w:fill="auto"/>
          </w:tcPr>
          <w:p w:rsidR="00E02A54" w:rsidRPr="00E062B8" w:rsidRDefault="00533BC0" w:rsidP="003E3118">
            <w:pPr>
              <w:suppressAutoHyphens w:val="0"/>
              <w:spacing w:before="40" w:after="120" w:line="220" w:lineRule="exact"/>
            </w:pPr>
            <w:r>
              <w:t>Para</w:t>
            </w:r>
            <w:r w:rsidR="003E3118">
              <w:t>graph</w:t>
            </w:r>
            <w:r>
              <w:t xml:space="preserve"> 9</w:t>
            </w:r>
          </w:p>
        </w:tc>
      </w:tr>
      <w:tr w:rsidR="00E02A54" w:rsidRPr="00E062B8" w:rsidTr="00533BC0">
        <w:trPr>
          <w:trHeight w:val="240"/>
        </w:trPr>
        <w:tc>
          <w:tcPr>
            <w:tcW w:w="2241" w:type="dxa"/>
            <w:shd w:val="clear" w:color="auto" w:fill="auto"/>
          </w:tcPr>
          <w:p w:rsidR="00E02A54" w:rsidRPr="00E062B8" w:rsidRDefault="00E02A54" w:rsidP="00E75C5C">
            <w:pPr>
              <w:suppressAutoHyphens w:val="0"/>
              <w:spacing w:before="40" w:after="120" w:line="220" w:lineRule="exact"/>
            </w:pPr>
            <w:r w:rsidRPr="00E062B8">
              <w:t xml:space="preserve">Activities </w:t>
            </w:r>
            <w:proofErr w:type="spellStart"/>
            <w:r w:rsidRPr="00E062B8">
              <w:t>included</w:t>
            </w:r>
            <w:r w:rsidRPr="00E062B8">
              <w:rPr>
                <w:i/>
                <w:vertAlign w:val="superscript"/>
              </w:rPr>
              <w:t>b</w:t>
            </w:r>
            <w:proofErr w:type="spellEnd"/>
          </w:p>
        </w:tc>
        <w:tc>
          <w:tcPr>
            <w:tcW w:w="1728" w:type="dxa"/>
            <w:shd w:val="clear" w:color="auto" w:fill="auto"/>
          </w:tcPr>
          <w:p w:rsidR="00E02A54" w:rsidRPr="00E062B8" w:rsidRDefault="00E02A54" w:rsidP="00E75C5C">
            <w:pPr>
              <w:suppressAutoHyphens w:val="0"/>
              <w:spacing w:before="40" w:after="120" w:line="220" w:lineRule="exact"/>
            </w:pPr>
            <w:r w:rsidRPr="00E062B8">
              <w:t>Deforestation</w:t>
            </w:r>
          </w:p>
        </w:tc>
        <w:tc>
          <w:tcPr>
            <w:tcW w:w="3661" w:type="dxa"/>
            <w:shd w:val="clear" w:color="auto" w:fill="auto"/>
          </w:tcPr>
          <w:p w:rsidR="00B8768F" w:rsidRPr="00E062B8" w:rsidRDefault="00537EE7" w:rsidP="00E75C5C">
            <w:pPr>
              <w:suppressAutoHyphens w:val="0"/>
              <w:spacing w:before="40" w:after="120" w:line="220" w:lineRule="exact"/>
            </w:pPr>
            <w:r w:rsidRPr="00E062B8">
              <w:t>Ethiopia</w:t>
            </w:r>
            <w:r w:rsidR="00E02A54" w:rsidRPr="00E062B8">
              <w:t xml:space="preserve"> defines “deforestation” as the conversion of forest </w:t>
            </w:r>
            <w:r w:rsidR="00345DF1" w:rsidRPr="00E062B8">
              <w:t xml:space="preserve">land </w:t>
            </w:r>
            <w:r w:rsidR="00E02A54" w:rsidRPr="00E062B8">
              <w:t>to other land</w:t>
            </w:r>
            <w:r w:rsidR="004C0C9E" w:rsidRPr="00E062B8">
              <w:t>. Deforestation includes any transition below the forest definition thresholds, including the transition of forest land to open woodland</w:t>
            </w:r>
            <w:r w:rsidR="00A558C3" w:rsidRPr="00E062B8">
              <w:t>.</w:t>
            </w:r>
          </w:p>
        </w:tc>
      </w:tr>
      <w:tr w:rsidR="00B8768F" w:rsidRPr="00E062B8" w:rsidTr="00533BC0">
        <w:trPr>
          <w:trHeight w:val="240"/>
        </w:trPr>
        <w:tc>
          <w:tcPr>
            <w:tcW w:w="2241" w:type="dxa"/>
            <w:tcBorders>
              <w:bottom w:val="nil"/>
            </w:tcBorders>
            <w:shd w:val="clear" w:color="auto" w:fill="auto"/>
          </w:tcPr>
          <w:p w:rsidR="00B8768F" w:rsidRPr="00E062B8" w:rsidRDefault="00B8768F" w:rsidP="00E75C5C">
            <w:pPr>
              <w:suppressAutoHyphens w:val="0"/>
              <w:spacing w:before="40" w:after="120" w:line="220" w:lineRule="exact"/>
            </w:pPr>
          </w:p>
        </w:tc>
        <w:tc>
          <w:tcPr>
            <w:tcW w:w="1728" w:type="dxa"/>
            <w:tcBorders>
              <w:bottom w:val="nil"/>
            </w:tcBorders>
            <w:shd w:val="clear" w:color="auto" w:fill="auto"/>
          </w:tcPr>
          <w:p w:rsidR="00B8768F" w:rsidRPr="00E062B8" w:rsidRDefault="005B2F2F" w:rsidP="00E75C5C">
            <w:pPr>
              <w:suppressAutoHyphens w:val="0"/>
              <w:spacing w:before="40" w:after="120" w:line="220" w:lineRule="exact"/>
            </w:pPr>
            <w:r w:rsidRPr="00E062B8">
              <w:t>Enhancement of forest carbon stocks (</w:t>
            </w:r>
            <w:r w:rsidR="00B8768F" w:rsidRPr="00E062B8">
              <w:t>Afforestation</w:t>
            </w:r>
            <w:r w:rsidRPr="00E062B8">
              <w:t>)</w:t>
            </w:r>
          </w:p>
        </w:tc>
        <w:tc>
          <w:tcPr>
            <w:tcW w:w="3661" w:type="dxa"/>
            <w:tcBorders>
              <w:bottom w:val="nil"/>
            </w:tcBorders>
            <w:shd w:val="clear" w:color="auto" w:fill="auto"/>
          </w:tcPr>
          <w:p w:rsidR="00B8768F" w:rsidRPr="00E062B8" w:rsidRDefault="00D62A7A" w:rsidP="00E75C5C">
            <w:pPr>
              <w:suppressAutoHyphens w:val="0"/>
              <w:spacing w:before="40" w:after="120" w:line="220" w:lineRule="exact"/>
            </w:pPr>
            <w:r w:rsidRPr="00E062B8">
              <w:t>Afforestation is defined as the conversion of other land to forest land. Afforestation includes the restoration of degraded woodlands resulting in a transition above the thresholds in the forest definition.</w:t>
            </w:r>
          </w:p>
        </w:tc>
      </w:tr>
      <w:tr w:rsidR="00E02A54" w:rsidRPr="00E062B8" w:rsidTr="00533BC0">
        <w:trPr>
          <w:trHeight w:val="240"/>
        </w:trPr>
        <w:tc>
          <w:tcPr>
            <w:tcW w:w="2241" w:type="dxa"/>
            <w:tcBorders>
              <w:top w:val="nil"/>
              <w:left w:val="nil"/>
              <w:bottom w:val="nil"/>
              <w:right w:val="nil"/>
            </w:tcBorders>
            <w:shd w:val="clear" w:color="auto" w:fill="auto"/>
          </w:tcPr>
          <w:p w:rsidR="00E02A54" w:rsidRPr="00E062B8" w:rsidRDefault="00E02A54" w:rsidP="00E75C5C">
            <w:pPr>
              <w:suppressAutoHyphens w:val="0"/>
              <w:spacing w:before="40" w:after="120" w:line="220" w:lineRule="exact"/>
            </w:pPr>
            <w:r w:rsidRPr="00E062B8">
              <w:t xml:space="preserve">Pools </w:t>
            </w:r>
            <w:proofErr w:type="spellStart"/>
            <w:r w:rsidRPr="00E062B8">
              <w:t>included</w:t>
            </w:r>
            <w:r w:rsidRPr="00E062B8">
              <w:rPr>
                <w:i/>
                <w:vertAlign w:val="superscript"/>
              </w:rPr>
              <w:t>b</w:t>
            </w:r>
            <w:proofErr w:type="spellEnd"/>
          </w:p>
        </w:tc>
        <w:tc>
          <w:tcPr>
            <w:tcW w:w="1728" w:type="dxa"/>
            <w:tcBorders>
              <w:top w:val="nil"/>
              <w:left w:val="nil"/>
              <w:bottom w:val="nil"/>
              <w:right w:val="nil"/>
            </w:tcBorders>
            <w:shd w:val="clear" w:color="auto" w:fill="auto"/>
          </w:tcPr>
          <w:p w:rsidR="00E02A54" w:rsidRPr="00E062B8" w:rsidRDefault="00E02A54" w:rsidP="00E75C5C">
            <w:pPr>
              <w:suppressAutoHyphens w:val="0"/>
              <w:spacing w:before="40" w:after="120" w:line="220" w:lineRule="exact"/>
            </w:pPr>
            <w:r w:rsidRPr="00E062B8">
              <w:t>AB, BB, DW</w:t>
            </w:r>
          </w:p>
        </w:tc>
        <w:tc>
          <w:tcPr>
            <w:tcW w:w="3661" w:type="dxa"/>
            <w:tcBorders>
              <w:top w:val="nil"/>
              <w:left w:val="nil"/>
              <w:bottom w:val="nil"/>
              <w:right w:val="nil"/>
            </w:tcBorders>
            <w:shd w:val="clear" w:color="auto" w:fill="auto"/>
          </w:tcPr>
          <w:p w:rsidR="00E02A54" w:rsidRPr="00E062B8" w:rsidRDefault="00E02A54" w:rsidP="00533BC0">
            <w:pPr>
              <w:suppressAutoHyphens w:val="0"/>
              <w:spacing w:before="40" w:after="120" w:line="220" w:lineRule="exact"/>
            </w:pPr>
            <w:r w:rsidRPr="00E062B8">
              <w:t xml:space="preserve">For the reported pools, it is assumed that the carbon immediately after deforestation is zero. </w:t>
            </w:r>
            <w:r w:rsidR="008C1E19" w:rsidRPr="00E062B8">
              <w:t>The litter pool and s</w:t>
            </w:r>
            <w:r w:rsidRPr="00E062B8">
              <w:t>oil organic carbon is not included due to a lack of accurate data (</w:t>
            </w:r>
            <w:proofErr w:type="spellStart"/>
            <w:r w:rsidRPr="00E062B8">
              <w:t>para</w:t>
            </w:r>
            <w:proofErr w:type="spellEnd"/>
            <w:r w:rsidRPr="00E062B8">
              <w:t xml:space="preserve">. </w:t>
            </w:r>
            <w:r w:rsidR="00533BC0">
              <w:t>10</w:t>
            </w:r>
            <w:r w:rsidR="00533BC0" w:rsidRPr="00E062B8">
              <w:t>)</w:t>
            </w:r>
          </w:p>
        </w:tc>
      </w:tr>
      <w:tr w:rsidR="00E02A54" w:rsidRPr="00E062B8" w:rsidTr="00533BC0">
        <w:trPr>
          <w:trHeight w:val="240"/>
        </w:trPr>
        <w:tc>
          <w:tcPr>
            <w:tcW w:w="2241" w:type="dxa"/>
            <w:tcBorders>
              <w:top w:val="nil"/>
              <w:left w:val="nil"/>
              <w:bottom w:val="nil"/>
              <w:right w:val="nil"/>
            </w:tcBorders>
            <w:shd w:val="clear" w:color="auto" w:fill="auto"/>
          </w:tcPr>
          <w:p w:rsidR="00E02A54" w:rsidRPr="00E062B8" w:rsidRDefault="00E02A54" w:rsidP="00E75C5C">
            <w:pPr>
              <w:suppressAutoHyphens w:val="0"/>
              <w:spacing w:before="40" w:after="120" w:line="220" w:lineRule="exact"/>
            </w:pPr>
            <w:r w:rsidRPr="00E062B8">
              <w:t>Gases included</w:t>
            </w:r>
          </w:p>
        </w:tc>
        <w:tc>
          <w:tcPr>
            <w:tcW w:w="1728" w:type="dxa"/>
            <w:tcBorders>
              <w:top w:val="nil"/>
              <w:left w:val="nil"/>
              <w:bottom w:val="nil"/>
              <w:right w:val="nil"/>
            </w:tcBorders>
            <w:shd w:val="clear" w:color="auto" w:fill="auto"/>
          </w:tcPr>
          <w:p w:rsidR="00E02A54" w:rsidRPr="00E062B8" w:rsidRDefault="00E02A54" w:rsidP="00E75C5C">
            <w:pPr>
              <w:suppressAutoHyphens w:val="0"/>
              <w:spacing w:before="40" w:after="120" w:line="220" w:lineRule="exact"/>
            </w:pPr>
            <w:r w:rsidRPr="00E062B8">
              <w:t>CO</w:t>
            </w:r>
            <w:r w:rsidRPr="00E062B8">
              <w:rPr>
                <w:vertAlign w:val="subscript"/>
              </w:rPr>
              <w:t>2</w:t>
            </w:r>
          </w:p>
        </w:tc>
        <w:tc>
          <w:tcPr>
            <w:tcW w:w="3661" w:type="dxa"/>
            <w:tcBorders>
              <w:top w:val="nil"/>
              <w:left w:val="nil"/>
              <w:bottom w:val="nil"/>
              <w:right w:val="nil"/>
            </w:tcBorders>
            <w:shd w:val="clear" w:color="auto" w:fill="auto"/>
          </w:tcPr>
          <w:p w:rsidR="00E02A54" w:rsidRPr="00E062B8" w:rsidRDefault="00E02A54" w:rsidP="00533BC0">
            <w:pPr>
              <w:suppressAutoHyphens w:val="0"/>
              <w:spacing w:before="40" w:after="120" w:line="220" w:lineRule="exact"/>
            </w:pPr>
            <w:r w:rsidRPr="00E062B8">
              <w:t>Preliminary estimates of non-CO</w:t>
            </w:r>
            <w:r w:rsidRPr="00E062B8">
              <w:rPr>
                <w:vertAlign w:val="subscript"/>
              </w:rPr>
              <w:t>2</w:t>
            </w:r>
            <w:r w:rsidRPr="00E062B8">
              <w:t xml:space="preserve"> gases included for information purposes (</w:t>
            </w:r>
            <w:proofErr w:type="spellStart"/>
            <w:r w:rsidRPr="00E062B8">
              <w:t>para</w:t>
            </w:r>
            <w:proofErr w:type="spellEnd"/>
            <w:r w:rsidRPr="00E062B8">
              <w:t xml:space="preserve">. </w:t>
            </w:r>
            <w:r w:rsidR="00533BC0">
              <w:t>35</w:t>
            </w:r>
            <w:r w:rsidR="00CD12CE" w:rsidRPr="00E062B8">
              <w:t>)</w:t>
            </w:r>
          </w:p>
        </w:tc>
      </w:tr>
      <w:tr w:rsidR="00E02A54" w:rsidRPr="00E062B8" w:rsidTr="00533BC0">
        <w:trPr>
          <w:trHeight w:val="240"/>
        </w:trPr>
        <w:tc>
          <w:tcPr>
            <w:tcW w:w="2241" w:type="dxa"/>
            <w:tcBorders>
              <w:top w:val="nil"/>
              <w:left w:val="nil"/>
              <w:bottom w:val="nil"/>
              <w:right w:val="nil"/>
            </w:tcBorders>
            <w:shd w:val="clear" w:color="auto" w:fill="auto"/>
          </w:tcPr>
          <w:p w:rsidR="00E02A54" w:rsidRPr="00E062B8" w:rsidRDefault="00E02A54" w:rsidP="00E75C5C">
            <w:pPr>
              <w:suppressAutoHyphens w:val="0"/>
              <w:spacing w:before="40" w:after="120" w:line="220" w:lineRule="exact"/>
            </w:pPr>
            <w:r w:rsidRPr="00E062B8">
              <w:t xml:space="preserve">Forest </w:t>
            </w:r>
            <w:proofErr w:type="spellStart"/>
            <w:r w:rsidRPr="00E062B8">
              <w:t>definition</w:t>
            </w:r>
            <w:r w:rsidRPr="00E062B8">
              <w:rPr>
                <w:i/>
                <w:vertAlign w:val="superscript"/>
              </w:rPr>
              <w:t>c</w:t>
            </w:r>
            <w:proofErr w:type="spellEnd"/>
          </w:p>
        </w:tc>
        <w:tc>
          <w:tcPr>
            <w:tcW w:w="1728" w:type="dxa"/>
            <w:tcBorders>
              <w:top w:val="nil"/>
              <w:left w:val="nil"/>
              <w:bottom w:val="nil"/>
              <w:right w:val="nil"/>
            </w:tcBorders>
            <w:shd w:val="clear" w:color="auto" w:fill="auto"/>
          </w:tcPr>
          <w:p w:rsidR="00E02A54" w:rsidRPr="00E062B8" w:rsidRDefault="00E02A54" w:rsidP="00E75C5C">
            <w:pPr>
              <w:suppressAutoHyphens w:val="0"/>
              <w:spacing w:before="40" w:after="120" w:line="220" w:lineRule="exact"/>
            </w:pPr>
            <w:r w:rsidRPr="00E062B8">
              <w:t>Included</w:t>
            </w:r>
          </w:p>
        </w:tc>
        <w:tc>
          <w:tcPr>
            <w:tcW w:w="3661" w:type="dxa"/>
            <w:tcBorders>
              <w:top w:val="nil"/>
              <w:left w:val="nil"/>
              <w:bottom w:val="nil"/>
              <w:right w:val="nil"/>
            </w:tcBorders>
            <w:shd w:val="clear" w:color="auto" w:fill="auto"/>
          </w:tcPr>
          <w:p w:rsidR="00E02A54" w:rsidRPr="00E062B8" w:rsidRDefault="00E02A54" w:rsidP="00533BC0">
            <w:pPr>
              <w:suppressAutoHyphens w:val="0"/>
              <w:spacing w:before="40" w:after="120" w:line="220" w:lineRule="exact"/>
            </w:pPr>
            <w:r w:rsidRPr="00E062B8">
              <w:t xml:space="preserve">Minimum tree crown cover of </w:t>
            </w:r>
            <w:r w:rsidR="00B8768F" w:rsidRPr="00E062B8">
              <w:t>2</w:t>
            </w:r>
            <w:r w:rsidRPr="00E062B8">
              <w:t>0 pe</w:t>
            </w:r>
            <w:r w:rsidR="00B8768F" w:rsidRPr="00E062B8">
              <w:t>r cent; minimum land area of 0.5 ha; minimum tree height of 2</w:t>
            </w:r>
            <w:r w:rsidRPr="00E062B8">
              <w:t xml:space="preserve"> m (</w:t>
            </w:r>
            <w:proofErr w:type="spellStart"/>
            <w:r w:rsidRPr="00E062B8">
              <w:t>para</w:t>
            </w:r>
            <w:proofErr w:type="spellEnd"/>
            <w:r w:rsidRPr="00E062B8">
              <w:t xml:space="preserve">. </w:t>
            </w:r>
            <w:r w:rsidR="00533BC0">
              <w:t>37</w:t>
            </w:r>
            <w:r w:rsidR="00533BC0" w:rsidRPr="00E062B8">
              <w:t>)</w:t>
            </w:r>
          </w:p>
        </w:tc>
      </w:tr>
      <w:tr w:rsidR="00E02A54" w:rsidRPr="00E062B8" w:rsidTr="00533BC0">
        <w:trPr>
          <w:trHeight w:val="240"/>
        </w:trPr>
        <w:tc>
          <w:tcPr>
            <w:tcW w:w="2241" w:type="dxa"/>
            <w:tcBorders>
              <w:top w:val="nil"/>
            </w:tcBorders>
            <w:shd w:val="clear" w:color="auto" w:fill="auto"/>
          </w:tcPr>
          <w:p w:rsidR="00E02A54" w:rsidRPr="00E062B8" w:rsidRDefault="00E02A54" w:rsidP="00E75C5C">
            <w:pPr>
              <w:suppressAutoHyphens w:val="0"/>
              <w:spacing w:before="40" w:after="120" w:line="220" w:lineRule="exact"/>
            </w:pPr>
            <w:r w:rsidRPr="00E062B8">
              <w:t>Relationship with latest GHG inventory</w:t>
            </w:r>
          </w:p>
        </w:tc>
        <w:tc>
          <w:tcPr>
            <w:tcW w:w="1728" w:type="dxa"/>
            <w:tcBorders>
              <w:top w:val="nil"/>
            </w:tcBorders>
            <w:shd w:val="clear" w:color="auto" w:fill="auto"/>
          </w:tcPr>
          <w:p w:rsidR="00E02A54" w:rsidRPr="00E062B8" w:rsidRDefault="00E02A54" w:rsidP="00E75C5C">
            <w:pPr>
              <w:suppressAutoHyphens w:val="0"/>
              <w:spacing w:before="40" w:after="120" w:line="220" w:lineRule="exact"/>
            </w:pPr>
            <w:r w:rsidRPr="00E062B8">
              <w:t xml:space="preserve">Methods used for FREL differ from latest GHG </w:t>
            </w:r>
            <w:r w:rsidRPr="00E062B8">
              <w:lastRenderedPageBreak/>
              <w:t>inventory (2012)</w:t>
            </w:r>
          </w:p>
        </w:tc>
        <w:tc>
          <w:tcPr>
            <w:tcW w:w="3661" w:type="dxa"/>
            <w:tcBorders>
              <w:top w:val="nil"/>
            </w:tcBorders>
            <w:shd w:val="clear" w:color="auto" w:fill="auto"/>
          </w:tcPr>
          <w:p w:rsidR="00E02A54" w:rsidRPr="00E062B8" w:rsidRDefault="00E02A54" w:rsidP="00533BC0">
            <w:pPr>
              <w:suppressAutoHyphens w:val="0"/>
              <w:spacing w:before="40" w:after="120" w:line="220" w:lineRule="exact"/>
            </w:pPr>
            <w:r w:rsidRPr="00E062B8">
              <w:lastRenderedPageBreak/>
              <w:t xml:space="preserve">Differences in methods are due to more recent data and Intergovernmental Panel on Climate Change guidance used in the FREL as compared to the GHG inventory. The </w:t>
            </w:r>
            <w:r w:rsidRPr="00E062B8">
              <w:lastRenderedPageBreak/>
              <w:t xml:space="preserve">GHG inventory in the first biennial update report is currently under preparation with an updated methodology </w:t>
            </w:r>
            <w:r w:rsidRPr="00E062B8">
              <w:br/>
              <w:t>(</w:t>
            </w:r>
            <w:proofErr w:type="spellStart"/>
            <w:r w:rsidRPr="00E062B8">
              <w:t>para</w:t>
            </w:r>
            <w:proofErr w:type="spellEnd"/>
            <w:r w:rsidRPr="00E062B8">
              <w:t xml:space="preserve">. </w:t>
            </w:r>
            <w:r w:rsidR="00533BC0" w:rsidRPr="00E062B8">
              <w:t>2</w:t>
            </w:r>
            <w:r w:rsidR="00533BC0">
              <w:t>9</w:t>
            </w:r>
            <w:r w:rsidRPr="00E062B8">
              <w:t>)</w:t>
            </w:r>
          </w:p>
        </w:tc>
      </w:tr>
      <w:tr w:rsidR="00E02A54" w:rsidRPr="00E062B8" w:rsidTr="00533BC0">
        <w:trPr>
          <w:trHeight w:val="240"/>
        </w:trPr>
        <w:tc>
          <w:tcPr>
            <w:tcW w:w="2241" w:type="dxa"/>
            <w:shd w:val="clear" w:color="auto" w:fill="auto"/>
          </w:tcPr>
          <w:p w:rsidR="00E02A54" w:rsidRPr="00E062B8" w:rsidRDefault="00E02A54" w:rsidP="00E75C5C">
            <w:pPr>
              <w:suppressAutoHyphens w:val="0"/>
              <w:spacing w:before="40" w:after="120" w:line="220" w:lineRule="exact"/>
            </w:pPr>
            <w:r w:rsidRPr="00E062B8">
              <w:lastRenderedPageBreak/>
              <w:t xml:space="preserve">Description of relevant policies and </w:t>
            </w:r>
            <w:proofErr w:type="spellStart"/>
            <w:r w:rsidRPr="00E062B8">
              <w:t>plans</w:t>
            </w:r>
            <w:r w:rsidRPr="00E062B8">
              <w:rPr>
                <w:i/>
                <w:vertAlign w:val="superscript"/>
              </w:rPr>
              <w:t>d</w:t>
            </w:r>
            <w:proofErr w:type="spellEnd"/>
          </w:p>
        </w:tc>
        <w:tc>
          <w:tcPr>
            <w:tcW w:w="1728" w:type="dxa"/>
            <w:shd w:val="clear" w:color="auto" w:fill="auto"/>
          </w:tcPr>
          <w:p w:rsidR="00E02A54" w:rsidRPr="00E062B8" w:rsidRDefault="00E02A54" w:rsidP="00E75C5C">
            <w:pPr>
              <w:suppressAutoHyphens w:val="0"/>
              <w:spacing w:before="40" w:after="120" w:line="220" w:lineRule="exact"/>
            </w:pPr>
            <w:r w:rsidRPr="00E062B8">
              <w:t xml:space="preserve">Included </w:t>
            </w:r>
          </w:p>
        </w:tc>
        <w:tc>
          <w:tcPr>
            <w:tcW w:w="3661" w:type="dxa"/>
            <w:shd w:val="clear" w:color="auto" w:fill="auto"/>
          </w:tcPr>
          <w:p w:rsidR="00E02A54" w:rsidRPr="00E062B8" w:rsidRDefault="00E02A54" w:rsidP="00533BC0">
            <w:pPr>
              <w:suppressAutoHyphens w:val="0"/>
              <w:spacing w:before="40" w:after="120" w:line="220" w:lineRule="exact"/>
            </w:pPr>
            <w:r w:rsidRPr="00E062B8">
              <w:t>Brief summary information included for information purposes (para</w:t>
            </w:r>
            <w:r w:rsidR="00533BC0" w:rsidRPr="00E062B8">
              <w:t>.</w:t>
            </w:r>
            <w:r w:rsidR="00533BC0">
              <w:t>32</w:t>
            </w:r>
            <w:r w:rsidR="00533BC0" w:rsidRPr="00E062B8">
              <w:t>)</w:t>
            </w:r>
          </w:p>
        </w:tc>
      </w:tr>
      <w:tr w:rsidR="00E02A54" w:rsidRPr="00E062B8" w:rsidTr="00533BC0">
        <w:trPr>
          <w:trHeight w:val="240"/>
        </w:trPr>
        <w:tc>
          <w:tcPr>
            <w:tcW w:w="2241" w:type="dxa"/>
            <w:shd w:val="clear" w:color="auto" w:fill="auto"/>
          </w:tcPr>
          <w:p w:rsidR="00E02A54" w:rsidRPr="00E062B8" w:rsidRDefault="00E02A54" w:rsidP="00E75C5C">
            <w:pPr>
              <w:keepNext/>
              <w:suppressAutoHyphens w:val="0"/>
              <w:spacing w:before="40" w:after="120" w:line="220" w:lineRule="exact"/>
            </w:pPr>
            <w:r w:rsidRPr="00E062B8">
              <w:t xml:space="preserve">Description of assumptions on future changes in </w:t>
            </w:r>
            <w:proofErr w:type="spellStart"/>
            <w:r w:rsidRPr="00E062B8">
              <w:t>policies</w:t>
            </w:r>
            <w:r w:rsidRPr="00E062B8">
              <w:rPr>
                <w:i/>
                <w:vertAlign w:val="superscript"/>
              </w:rPr>
              <w:t>d</w:t>
            </w:r>
            <w:proofErr w:type="spellEnd"/>
          </w:p>
        </w:tc>
        <w:tc>
          <w:tcPr>
            <w:tcW w:w="1728" w:type="dxa"/>
            <w:shd w:val="clear" w:color="auto" w:fill="auto"/>
          </w:tcPr>
          <w:p w:rsidR="00E02A54" w:rsidRPr="00E062B8" w:rsidRDefault="00E02A54" w:rsidP="00E75C5C">
            <w:pPr>
              <w:keepNext/>
              <w:suppressAutoHyphens w:val="0"/>
              <w:spacing w:before="40" w:after="120" w:line="220" w:lineRule="exact"/>
            </w:pPr>
            <w:r w:rsidRPr="00E062B8">
              <w:t>Not applicable</w:t>
            </w:r>
          </w:p>
        </w:tc>
        <w:tc>
          <w:tcPr>
            <w:tcW w:w="3661" w:type="dxa"/>
            <w:shd w:val="clear" w:color="auto" w:fill="auto"/>
          </w:tcPr>
          <w:p w:rsidR="00E02A54" w:rsidRPr="00E062B8" w:rsidRDefault="00E02A54" w:rsidP="00E75C5C">
            <w:pPr>
              <w:suppressAutoHyphens w:val="0"/>
              <w:spacing w:before="40" w:after="120" w:line="220" w:lineRule="exact"/>
            </w:pPr>
            <w:r w:rsidRPr="00E062B8">
              <w:t>-</w:t>
            </w:r>
          </w:p>
        </w:tc>
      </w:tr>
      <w:tr w:rsidR="00E02A54" w:rsidRPr="00E062B8" w:rsidTr="00533BC0">
        <w:trPr>
          <w:trHeight w:val="240"/>
        </w:trPr>
        <w:tc>
          <w:tcPr>
            <w:tcW w:w="2241" w:type="dxa"/>
            <w:shd w:val="clear" w:color="auto" w:fill="auto"/>
          </w:tcPr>
          <w:p w:rsidR="00E02A54" w:rsidRPr="00E062B8" w:rsidRDefault="00E02A54" w:rsidP="00E75C5C">
            <w:pPr>
              <w:keepNext/>
              <w:suppressAutoHyphens w:val="0"/>
              <w:spacing w:before="40" w:after="120" w:line="220" w:lineRule="exact"/>
            </w:pPr>
            <w:r w:rsidRPr="00E062B8">
              <w:t>Descriptions of changes to previous FREL</w:t>
            </w:r>
          </w:p>
        </w:tc>
        <w:tc>
          <w:tcPr>
            <w:tcW w:w="1728" w:type="dxa"/>
            <w:shd w:val="clear" w:color="auto" w:fill="auto"/>
          </w:tcPr>
          <w:p w:rsidR="00E02A54" w:rsidRPr="00E062B8" w:rsidRDefault="00E02A54" w:rsidP="00E75C5C">
            <w:pPr>
              <w:keepNext/>
              <w:suppressAutoHyphens w:val="0"/>
              <w:spacing w:before="40" w:after="120" w:line="220" w:lineRule="exact"/>
            </w:pPr>
            <w:r w:rsidRPr="00E062B8">
              <w:t>Not applicable</w:t>
            </w:r>
          </w:p>
        </w:tc>
        <w:tc>
          <w:tcPr>
            <w:tcW w:w="3661" w:type="dxa"/>
            <w:shd w:val="clear" w:color="auto" w:fill="auto"/>
          </w:tcPr>
          <w:p w:rsidR="00E02A54" w:rsidRPr="00E062B8" w:rsidRDefault="00E02A54" w:rsidP="00E75C5C">
            <w:pPr>
              <w:suppressAutoHyphens w:val="0"/>
              <w:spacing w:before="40" w:after="120" w:line="220" w:lineRule="exact"/>
            </w:pPr>
            <w:r w:rsidRPr="00E062B8">
              <w:t>-</w:t>
            </w:r>
          </w:p>
        </w:tc>
      </w:tr>
      <w:tr w:rsidR="00E02A54" w:rsidRPr="00E062B8" w:rsidTr="00533BC0">
        <w:trPr>
          <w:trHeight w:val="240"/>
        </w:trPr>
        <w:tc>
          <w:tcPr>
            <w:tcW w:w="2241" w:type="dxa"/>
            <w:tcBorders>
              <w:bottom w:val="single" w:sz="12" w:space="0" w:color="auto"/>
            </w:tcBorders>
            <w:shd w:val="clear" w:color="auto" w:fill="auto"/>
          </w:tcPr>
          <w:p w:rsidR="00E02A54" w:rsidRPr="00E062B8" w:rsidRDefault="00E02A54" w:rsidP="00E75C5C">
            <w:pPr>
              <w:keepNext/>
              <w:suppressAutoHyphens w:val="0"/>
              <w:spacing w:before="40" w:after="120" w:line="220" w:lineRule="exact"/>
            </w:pPr>
            <w:r w:rsidRPr="00E062B8">
              <w:t>Future improvements identified</w:t>
            </w:r>
          </w:p>
        </w:tc>
        <w:tc>
          <w:tcPr>
            <w:tcW w:w="1728" w:type="dxa"/>
            <w:tcBorders>
              <w:bottom w:val="single" w:sz="12" w:space="0" w:color="auto"/>
            </w:tcBorders>
            <w:shd w:val="clear" w:color="auto" w:fill="auto"/>
          </w:tcPr>
          <w:p w:rsidR="00E02A54" w:rsidRPr="00E062B8" w:rsidRDefault="00E02A54" w:rsidP="00E75C5C">
            <w:pPr>
              <w:keepNext/>
              <w:suppressAutoHyphens w:val="0"/>
              <w:spacing w:before="40" w:after="120" w:line="220" w:lineRule="exact"/>
            </w:pPr>
            <w:r w:rsidRPr="00E062B8">
              <w:t>Yes</w:t>
            </w:r>
          </w:p>
        </w:tc>
        <w:tc>
          <w:tcPr>
            <w:tcW w:w="3661" w:type="dxa"/>
            <w:tcBorders>
              <w:bottom w:val="single" w:sz="12" w:space="0" w:color="auto"/>
            </w:tcBorders>
            <w:shd w:val="clear" w:color="auto" w:fill="auto"/>
          </w:tcPr>
          <w:p w:rsidR="00E02A54" w:rsidRPr="00E062B8" w:rsidRDefault="00E02A54" w:rsidP="00533BC0">
            <w:pPr>
              <w:suppressAutoHyphens w:val="0"/>
              <w:spacing w:before="40" w:after="120" w:line="220" w:lineRule="exact"/>
            </w:pPr>
            <w:r w:rsidRPr="00E062B8">
              <w:t>Several areas for future technical improvements were identified (</w:t>
            </w:r>
            <w:proofErr w:type="spellStart"/>
            <w:r w:rsidRPr="00E062B8">
              <w:t>paras</w:t>
            </w:r>
            <w:proofErr w:type="spellEnd"/>
            <w:r w:rsidRPr="00E062B8">
              <w:t xml:space="preserve">. </w:t>
            </w:r>
            <w:r w:rsidR="00533BC0">
              <w:t>41-43</w:t>
            </w:r>
            <w:r w:rsidR="00533BC0" w:rsidRPr="00E062B8">
              <w:t>)</w:t>
            </w:r>
          </w:p>
        </w:tc>
      </w:tr>
    </w:tbl>
    <w:p w:rsidR="00E02A54" w:rsidRPr="004E038B" w:rsidRDefault="00E75C5C" w:rsidP="00E02A54">
      <w:pPr>
        <w:pStyle w:val="RegHChG"/>
        <w:numPr>
          <w:ilvl w:val="0"/>
          <w:numId w:val="0"/>
        </w:numPr>
        <w:tabs>
          <w:tab w:val="left" w:pos="1287"/>
        </w:tabs>
        <w:spacing w:before="120" w:after="0" w:line="240" w:lineRule="auto"/>
        <w:ind w:left="1134" w:right="-1"/>
        <w:rPr>
          <w:b w:val="0"/>
          <w:sz w:val="18"/>
        </w:rPr>
      </w:pPr>
      <w:bookmarkStart w:id="24" w:name="_Toc422498143"/>
      <w:bookmarkStart w:id="25" w:name="_Toc422498184"/>
      <w:bookmarkStart w:id="26" w:name="_Toc429404838"/>
      <w:r>
        <w:rPr>
          <w:b w:val="0"/>
          <w:i/>
          <w:sz w:val="18"/>
          <w:szCs w:val="18"/>
        </w:rPr>
        <w:br w:type="textWrapping" w:clear="all"/>
      </w:r>
      <w:r w:rsidR="00E02A54" w:rsidRPr="00E062B8">
        <w:rPr>
          <w:b w:val="0"/>
          <w:i/>
          <w:sz w:val="18"/>
          <w:szCs w:val="18"/>
        </w:rPr>
        <w:tab/>
        <w:t>Abbreviations</w:t>
      </w:r>
      <w:r w:rsidR="00E02A54" w:rsidRPr="00E062B8">
        <w:rPr>
          <w:b w:val="0"/>
          <w:sz w:val="18"/>
          <w:szCs w:val="18"/>
        </w:rPr>
        <w:t xml:space="preserve">: </w:t>
      </w:r>
      <w:r w:rsidR="00E02A54" w:rsidRPr="00E062B8">
        <w:rPr>
          <w:b w:val="0"/>
          <w:sz w:val="18"/>
        </w:rPr>
        <w:t xml:space="preserve">AB = aboveground biomass, BB = belowground biomass, DW = dead wood, </w:t>
      </w:r>
      <w:r w:rsidR="00E02A54" w:rsidRPr="00E062B8">
        <w:rPr>
          <w:b w:val="0"/>
          <w:sz w:val="18"/>
          <w:szCs w:val="18"/>
        </w:rPr>
        <w:t>FREL</w:t>
      </w:r>
      <w:r w:rsidR="00E02A54" w:rsidRPr="004E038B">
        <w:rPr>
          <w:b w:val="0"/>
          <w:sz w:val="18"/>
          <w:szCs w:val="18"/>
        </w:rPr>
        <w:t xml:space="preserve"> = Forest reference emission level, GHG = greenhouse </w:t>
      </w:r>
      <w:proofErr w:type="spellStart"/>
      <w:r w:rsidR="00E02A54" w:rsidRPr="004E038B">
        <w:rPr>
          <w:b w:val="0"/>
          <w:sz w:val="18"/>
          <w:szCs w:val="18"/>
        </w:rPr>
        <w:t>gas,</w:t>
      </w:r>
      <w:r w:rsidR="00E02A54" w:rsidRPr="004E038B">
        <w:rPr>
          <w:b w:val="0"/>
          <w:sz w:val="18"/>
        </w:rPr>
        <w:t>L</w:t>
      </w:r>
      <w:proofErr w:type="spellEnd"/>
      <w:r w:rsidR="00E02A54" w:rsidRPr="004E038B">
        <w:rPr>
          <w:b w:val="0"/>
          <w:sz w:val="18"/>
        </w:rPr>
        <w:t xml:space="preserve"> = litter, t </w:t>
      </w:r>
      <w:r w:rsidR="00E02A54">
        <w:rPr>
          <w:b w:val="0"/>
          <w:sz w:val="18"/>
        </w:rPr>
        <w:t>CO</w:t>
      </w:r>
      <w:r w:rsidR="00E02A54" w:rsidRPr="00F94A94">
        <w:rPr>
          <w:b w:val="0"/>
          <w:sz w:val="18"/>
          <w:vertAlign w:val="subscript"/>
        </w:rPr>
        <w:t>2</w:t>
      </w:r>
      <w:r w:rsidR="00E02A54" w:rsidRPr="004E038B">
        <w:rPr>
          <w:b w:val="0"/>
          <w:sz w:val="18"/>
        </w:rPr>
        <w:t>eq/</w:t>
      </w:r>
      <w:proofErr w:type="spellStart"/>
      <w:r w:rsidR="00E02A54" w:rsidRPr="004E038B">
        <w:rPr>
          <w:b w:val="0"/>
          <w:sz w:val="18"/>
        </w:rPr>
        <w:t>yr</w:t>
      </w:r>
      <w:proofErr w:type="spellEnd"/>
      <w:r w:rsidR="00E02A54" w:rsidRPr="004E038B">
        <w:rPr>
          <w:b w:val="0"/>
          <w:sz w:val="18"/>
        </w:rPr>
        <w:t xml:space="preserve"> = tonnes of carbon dioxide equivalent per year.</w:t>
      </w:r>
    </w:p>
    <w:p w:rsidR="00E02A54" w:rsidRPr="004E038B" w:rsidRDefault="00E02A54" w:rsidP="00E02A54">
      <w:pPr>
        <w:pStyle w:val="RegHChG"/>
        <w:numPr>
          <w:ilvl w:val="0"/>
          <w:numId w:val="0"/>
        </w:numPr>
        <w:spacing w:before="0" w:after="0" w:line="240" w:lineRule="auto"/>
        <w:ind w:left="1134" w:right="-1" w:firstLine="142"/>
        <w:rPr>
          <w:b w:val="0"/>
          <w:sz w:val="18"/>
        </w:rPr>
      </w:pPr>
      <w:proofErr w:type="spellStart"/>
      <w:r w:rsidRPr="004E038B">
        <w:rPr>
          <w:b w:val="0"/>
          <w:i/>
          <w:sz w:val="18"/>
          <w:vertAlign w:val="superscript"/>
        </w:rPr>
        <w:t>a</w:t>
      </w:r>
      <w:r w:rsidRPr="004E038B">
        <w:rPr>
          <w:b w:val="0"/>
          <w:sz w:val="18"/>
        </w:rPr>
        <w:t>If</w:t>
      </w:r>
      <w:proofErr w:type="spellEnd"/>
      <w:r w:rsidRPr="004E038B">
        <w:rPr>
          <w:b w:val="0"/>
          <w:sz w:val="18"/>
        </w:rPr>
        <w:t xml:space="preserve"> subnational, comments should include information on the treatment of displacement of emissions.</w:t>
      </w:r>
      <w:bookmarkEnd w:id="24"/>
      <w:bookmarkEnd w:id="25"/>
      <w:bookmarkEnd w:id="26"/>
    </w:p>
    <w:p w:rsidR="00E02A54" w:rsidRPr="004E038B" w:rsidRDefault="00E02A54" w:rsidP="00E02A54">
      <w:pPr>
        <w:pStyle w:val="RegHChG"/>
        <w:numPr>
          <w:ilvl w:val="0"/>
          <w:numId w:val="0"/>
        </w:numPr>
        <w:spacing w:before="0" w:after="0" w:line="240" w:lineRule="auto"/>
        <w:ind w:left="1134" w:right="-1" w:firstLine="142"/>
        <w:rPr>
          <w:b w:val="0"/>
          <w:sz w:val="18"/>
        </w:rPr>
      </w:pPr>
      <w:bookmarkStart w:id="27" w:name="_Toc422498144"/>
      <w:bookmarkStart w:id="28" w:name="_Toc422498185"/>
      <w:bookmarkStart w:id="29" w:name="_Toc429404839"/>
      <w:proofErr w:type="spellStart"/>
      <w:r w:rsidRPr="004E038B">
        <w:rPr>
          <w:b w:val="0"/>
          <w:i/>
          <w:sz w:val="18"/>
          <w:vertAlign w:val="superscript"/>
        </w:rPr>
        <w:t>b</w:t>
      </w:r>
      <w:r w:rsidRPr="004E038B">
        <w:rPr>
          <w:b w:val="0"/>
          <w:sz w:val="18"/>
        </w:rPr>
        <w:t>In</w:t>
      </w:r>
      <w:proofErr w:type="spellEnd"/>
      <w:r w:rsidRPr="004E038B">
        <w:rPr>
          <w:b w:val="0"/>
          <w:sz w:val="18"/>
        </w:rPr>
        <w:t xml:space="preserve"> the case of omitted pools or activities, comments should include the justification provided by the country.</w:t>
      </w:r>
      <w:bookmarkEnd w:id="27"/>
      <w:bookmarkEnd w:id="28"/>
      <w:bookmarkEnd w:id="29"/>
    </w:p>
    <w:p w:rsidR="00E02A54" w:rsidRPr="004E038B" w:rsidRDefault="00E02A54" w:rsidP="00E02A54">
      <w:pPr>
        <w:pStyle w:val="RegHChG"/>
        <w:numPr>
          <w:ilvl w:val="0"/>
          <w:numId w:val="0"/>
        </w:numPr>
        <w:spacing w:before="0" w:after="0" w:line="240" w:lineRule="auto"/>
        <w:ind w:left="1134" w:right="-1" w:firstLine="142"/>
        <w:rPr>
          <w:b w:val="0"/>
          <w:sz w:val="18"/>
        </w:rPr>
      </w:pPr>
      <w:bookmarkStart w:id="30" w:name="_Toc422498146"/>
      <w:bookmarkStart w:id="31" w:name="_Toc422498187"/>
      <w:bookmarkStart w:id="32" w:name="_Toc429404841"/>
      <w:proofErr w:type="spellStart"/>
      <w:r w:rsidRPr="004E038B">
        <w:rPr>
          <w:b w:val="0"/>
          <w:i/>
          <w:sz w:val="18"/>
          <w:vertAlign w:val="superscript"/>
        </w:rPr>
        <w:t>c</w:t>
      </w:r>
      <w:r w:rsidRPr="004E038B">
        <w:rPr>
          <w:b w:val="0"/>
          <w:sz w:val="18"/>
        </w:rPr>
        <w:t>The</w:t>
      </w:r>
      <w:proofErr w:type="spellEnd"/>
      <w:r w:rsidRPr="004E038B">
        <w:rPr>
          <w:b w:val="0"/>
          <w:sz w:val="18"/>
        </w:rPr>
        <w:t xml:space="preserve"> forest definition should be summarized, and it should be stated if it differs from the definition used in the greenhouse gas inventory or in reporting to other international organizations.</w:t>
      </w:r>
      <w:bookmarkEnd w:id="30"/>
      <w:bookmarkEnd w:id="31"/>
      <w:bookmarkEnd w:id="32"/>
    </w:p>
    <w:p w:rsidR="00E02A54" w:rsidRPr="000C1D04" w:rsidRDefault="00E02A54" w:rsidP="00E02A54">
      <w:pPr>
        <w:pStyle w:val="RegHChG"/>
        <w:numPr>
          <w:ilvl w:val="0"/>
          <w:numId w:val="0"/>
        </w:numPr>
        <w:spacing w:before="0" w:after="120" w:line="240" w:lineRule="auto"/>
        <w:ind w:left="1134" w:right="-1" w:firstLine="142"/>
        <w:rPr>
          <w:b w:val="0"/>
          <w:sz w:val="18"/>
        </w:rPr>
      </w:pPr>
      <w:bookmarkStart w:id="33" w:name="_Toc422498147"/>
      <w:bookmarkStart w:id="34" w:name="_Toc422498188"/>
      <w:bookmarkStart w:id="35" w:name="_Toc429404842"/>
      <w:proofErr w:type="spellStart"/>
      <w:r w:rsidRPr="004E038B">
        <w:rPr>
          <w:b w:val="0"/>
          <w:i/>
          <w:sz w:val="18"/>
          <w:vertAlign w:val="superscript"/>
        </w:rPr>
        <w:t>d</w:t>
      </w:r>
      <w:r w:rsidRPr="004E038B">
        <w:rPr>
          <w:b w:val="0"/>
          <w:sz w:val="18"/>
        </w:rPr>
        <w:t>May</w:t>
      </w:r>
      <w:proofErr w:type="spellEnd"/>
      <w:r w:rsidRPr="004E038B">
        <w:rPr>
          <w:b w:val="0"/>
          <w:sz w:val="18"/>
        </w:rPr>
        <w:t xml:space="preserve"> be relevant to the description of national circumstances, which is required in the case of adjustment.</w:t>
      </w:r>
      <w:bookmarkEnd w:id="33"/>
      <w:bookmarkEnd w:id="34"/>
      <w:bookmarkEnd w:id="35"/>
    </w:p>
    <w:p w:rsidR="0085682C" w:rsidRPr="0085682C" w:rsidRDefault="0085682C" w:rsidP="0085682C">
      <w:pPr>
        <w:spacing w:before="240"/>
        <w:ind w:left="1134" w:right="1134"/>
        <w:jc w:val="center"/>
        <w:rPr>
          <w:u w:val="single"/>
        </w:rPr>
      </w:pPr>
      <w:r>
        <w:rPr>
          <w:u w:val="single"/>
        </w:rPr>
        <w:tab/>
      </w:r>
      <w:r>
        <w:rPr>
          <w:u w:val="single"/>
        </w:rPr>
        <w:tab/>
      </w:r>
      <w:r>
        <w:rPr>
          <w:u w:val="single"/>
        </w:rPr>
        <w:tab/>
      </w:r>
    </w:p>
    <w:sectPr w:rsidR="0085682C" w:rsidRPr="0085682C" w:rsidSect="00EC121C">
      <w:headerReference w:type="even" r:id="rId14"/>
      <w:headerReference w:type="default" r:id="rId15"/>
      <w:footerReference w:type="even" r:id="rId16"/>
      <w:footerReference w:type="default" r:id="rId17"/>
      <w:footerReference w:type="first" r:id="rId18"/>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Dirk Nemitz" w:date="2016-07-22T14:33:00Z" w:initials="DN">
    <w:p w:rsidR="00373F95" w:rsidRDefault="00373F95">
      <w:pPr>
        <w:pStyle w:val="CommentText"/>
      </w:pPr>
      <w:r>
        <w:rPr>
          <w:rStyle w:val="CommentReference"/>
        </w:rPr>
        <w:annotationRef/>
      </w:r>
      <w:r>
        <w:rPr>
          <w:rStyle w:val="CommentReference"/>
        </w:rPr>
        <w:t xml:space="preserve">The text in brackets in this paragraph should be considered preliminary, </w:t>
      </w:r>
      <w:r w:rsidR="00624241">
        <w:rPr>
          <w:rStyle w:val="CommentReference"/>
        </w:rPr>
        <w:t>because</w:t>
      </w:r>
      <w:r>
        <w:rPr>
          <w:rStyle w:val="CommentReference"/>
        </w:rPr>
        <w:t xml:space="preserve"> its content is</w:t>
      </w:r>
      <w:r>
        <w:t xml:space="preserve"> pending the submission of a modified FREL/FRL, as indicated by</w:t>
      </w:r>
      <w:r w:rsidR="00624241">
        <w:t xml:space="preserve"> email correspondence </w:t>
      </w:r>
      <w:proofErr w:type="spellStart"/>
      <w:r w:rsidR="00624241">
        <w:t>fromEthiopia</w:t>
      </w:r>
      <w:proofErr w:type="spellEnd"/>
      <w:r w:rsidR="00624241">
        <w:t>.</w:t>
      </w:r>
    </w:p>
  </w:comment>
  <w:comment w:id="23" w:author="Dirk Nemitz" w:date="2016-07-26T11:00:00Z" w:initials="DN">
    <w:p w:rsidR="004B6C31" w:rsidRDefault="004B6C31">
      <w:pPr>
        <w:pStyle w:val="CommentText"/>
      </w:pPr>
      <w:r>
        <w:rPr>
          <w:rStyle w:val="CommentReference"/>
        </w:rPr>
        <w:annotationRef/>
      </w:r>
      <w:r>
        <w:rPr>
          <w:rStyle w:val="CommentReference"/>
        </w:rPr>
        <w:t>The text in brackets in this paragraph should be considered preliminary, because its content is</w:t>
      </w:r>
      <w:r>
        <w:t xml:space="preserve"> pending the submission of a modified FREL/FRL, as indicated by email correspondence from Ethiopia.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12DF20" w15:done="0"/>
  <w15:commentEx w15:paraId="3CBD780B" w15:done="0"/>
  <w15:commentEx w15:paraId="7CF42B37" w15:done="0"/>
  <w15:commentEx w15:paraId="56002C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7F" w:rsidRDefault="00FA5D7F">
      <w:r>
        <w:separator/>
      </w:r>
    </w:p>
  </w:endnote>
  <w:endnote w:type="continuationSeparator" w:id="0">
    <w:p w:rsidR="00FA5D7F" w:rsidRDefault="00FA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L">
    <w:altName w:val="MS Gothic"/>
    <w:panose1 w:val="00000000000000000000"/>
    <w:charset w:val="80"/>
    <w:family w:val="swiss"/>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16" w:rsidRPr="00E670E9" w:rsidRDefault="00D17836" w:rsidP="00E670E9">
    <w:pPr>
      <w:pStyle w:val="Footer"/>
      <w:tabs>
        <w:tab w:val="right" w:pos="9638"/>
      </w:tabs>
    </w:pPr>
    <w:r w:rsidRPr="00E670E9">
      <w:rPr>
        <w:b/>
        <w:sz w:val="18"/>
      </w:rPr>
      <w:fldChar w:fldCharType="begin"/>
    </w:r>
    <w:r w:rsidR="00737D16" w:rsidRPr="00E670E9">
      <w:rPr>
        <w:b/>
        <w:sz w:val="18"/>
      </w:rPr>
      <w:instrText xml:space="preserve"> PAGE  \* MERGEFORMAT </w:instrText>
    </w:r>
    <w:r w:rsidRPr="00E670E9">
      <w:rPr>
        <w:b/>
        <w:sz w:val="18"/>
      </w:rPr>
      <w:fldChar w:fldCharType="separate"/>
    </w:r>
    <w:r w:rsidR="00DE59C5">
      <w:rPr>
        <w:b/>
        <w:noProof/>
        <w:sz w:val="18"/>
      </w:rPr>
      <w:t>14</w:t>
    </w:r>
    <w:r w:rsidRPr="00E670E9">
      <w:rPr>
        <w:b/>
        <w:sz w:val="18"/>
      </w:rPr>
      <w:fldChar w:fldCharType="end"/>
    </w:r>
    <w:r w:rsidR="00737D1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16" w:rsidRPr="00EC121C" w:rsidRDefault="00737D16" w:rsidP="00EC121C">
    <w:pPr>
      <w:pStyle w:val="Footer"/>
      <w:tabs>
        <w:tab w:val="right" w:pos="9638"/>
      </w:tabs>
      <w:rPr>
        <w:b/>
        <w:sz w:val="18"/>
      </w:rPr>
    </w:pPr>
    <w:r>
      <w:tab/>
    </w:r>
    <w:r w:rsidR="00D17836" w:rsidRPr="00EC121C">
      <w:rPr>
        <w:b/>
        <w:sz w:val="18"/>
      </w:rPr>
      <w:fldChar w:fldCharType="begin"/>
    </w:r>
    <w:r w:rsidRPr="00EC121C">
      <w:rPr>
        <w:b/>
        <w:sz w:val="18"/>
      </w:rPr>
      <w:instrText xml:space="preserve"> PAGE  \* MERGEFORMAT </w:instrText>
    </w:r>
    <w:r w:rsidR="00D17836" w:rsidRPr="00EC121C">
      <w:rPr>
        <w:b/>
        <w:sz w:val="18"/>
      </w:rPr>
      <w:fldChar w:fldCharType="separate"/>
    </w:r>
    <w:r w:rsidR="00DE59C5">
      <w:rPr>
        <w:b/>
        <w:noProof/>
        <w:sz w:val="18"/>
      </w:rPr>
      <w:t>13</w:t>
    </w:r>
    <w:r w:rsidR="00D17836" w:rsidRPr="00EC12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16" w:rsidRPr="00EC121C" w:rsidRDefault="00737D16" w:rsidP="00EC121C">
    <w:pPr>
      <w:pStyle w:val="Footer"/>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7F" w:rsidRDefault="00FA5D7F">
      <w:r>
        <w:separator/>
      </w:r>
    </w:p>
  </w:footnote>
  <w:footnote w:type="continuationSeparator" w:id="0">
    <w:p w:rsidR="00FA5D7F" w:rsidRDefault="00FA5D7F">
      <w:r>
        <w:continuationSeparator/>
      </w:r>
    </w:p>
  </w:footnote>
  <w:footnote w:id="1">
    <w:p w:rsidR="00737D16" w:rsidRPr="00993EBF" w:rsidRDefault="00737D16" w:rsidP="00EC121C">
      <w:pPr>
        <w:pStyle w:val="FootnoteText"/>
        <w:rPr>
          <w:lang w:val="en-US"/>
        </w:rPr>
      </w:pPr>
      <w:r>
        <w:tab/>
      </w:r>
      <w:r w:rsidRPr="00993EBF">
        <w:rPr>
          <w:rStyle w:val="FootnoteReference"/>
        </w:rPr>
        <w:footnoteRef/>
      </w:r>
      <w:r w:rsidRPr="00993EBF">
        <w:tab/>
        <w:t xml:space="preserve">The submission of </w:t>
      </w:r>
      <w:r>
        <w:t>Ethiopia</w:t>
      </w:r>
      <w:r w:rsidRPr="00993EBF">
        <w:t xml:space="preserve"> can be </w:t>
      </w:r>
      <w:r>
        <w:t>found at &lt;</w:t>
      </w:r>
      <w:hyperlink r:id="rId1" w:history="1">
        <w:r w:rsidR="00373F95" w:rsidRPr="00935473">
          <w:rPr>
            <w:rStyle w:val="Hyperlink"/>
          </w:rPr>
          <w:t>http://unfccc.int/8414</w:t>
        </w:r>
      </w:hyperlink>
      <w:r w:rsidRPr="00993EBF">
        <w:t>&gt;.</w:t>
      </w:r>
    </w:p>
  </w:footnote>
  <w:footnote w:id="2">
    <w:p w:rsidR="00737D16" w:rsidRPr="00993EBF" w:rsidRDefault="00737D16" w:rsidP="00EC121C">
      <w:pPr>
        <w:pStyle w:val="FootnoteText"/>
        <w:rPr>
          <w:lang w:val="en-US"/>
        </w:rPr>
      </w:pPr>
      <w:r w:rsidRPr="00993EBF">
        <w:tab/>
      </w:r>
      <w:r w:rsidRPr="00993EBF">
        <w:rPr>
          <w:rStyle w:val="FootnoteReference"/>
        </w:rPr>
        <w:footnoteRef/>
      </w:r>
      <w:r w:rsidRPr="00993EBF">
        <w:tab/>
      </w:r>
      <w:proofErr w:type="gramStart"/>
      <w:r w:rsidRPr="00993EBF">
        <w:rPr>
          <w:lang w:val="en-US"/>
        </w:rPr>
        <w:t>Decision 13/CP.19, annex, paragraph 7.</w:t>
      </w:r>
      <w:proofErr w:type="gramEnd"/>
    </w:p>
  </w:footnote>
  <w:footnote w:id="3">
    <w:p w:rsidR="00737D16" w:rsidRPr="00993EBF" w:rsidRDefault="00737D16" w:rsidP="00EC121C">
      <w:pPr>
        <w:pStyle w:val="FootnoteText"/>
        <w:rPr>
          <w:lang w:val="en-US"/>
        </w:rPr>
      </w:pPr>
      <w:r w:rsidRPr="00993EBF">
        <w:tab/>
      </w:r>
      <w:r w:rsidRPr="00993EBF">
        <w:rPr>
          <w:rStyle w:val="FootnoteReference"/>
        </w:rPr>
        <w:footnoteRef/>
      </w:r>
      <w:r w:rsidRPr="00993EBF">
        <w:tab/>
      </w:r>
      <w:proofErr w:type="gramStart"/>
      <w:r w:rsidRPr="00993EBF">
        <w:rPr>
          <w:lang w:val="en-US"/>
        </w:rPr>
        <w:t>Decision 13/CP.19, paragraphs 7 and 9.</w:t>
      </w:r>
      <w:proofErr w:type="gramEnd"/>
    </w:p>
  </w:footnote>
  <w:footnote w:id="4">
    <w:p w:rsidR="00737D16" w:rsidRPr="00993EBF" w:rsidRDefault="00737D16" w:rsidP="008B3C75">
      <w:pPr>
        <w:pStyle w:val="FootnoteText"/>
        <w:rPr>
          <w:lang w:val="en-US"/>
        </w:rPr>
      </w:pPr>
      <w:r w:rsidRPr="00993EBF">
        <w:tab/>
      </w:r>
      <w:r w:rsidRPr="00993EBF">
        <w:rPr>
          <w:rStyle w:val="FootnoteReference"/>
        </w:rPr>
        <w:footnoteRef/>
      </w:r>
      <w:r w:rsidRPr="00993EBF">
        <w:tab/>
      </w:r>
      <w:proofErr w:type="gramStart"/>
      <w:r w:rsidRPr="00993EBF">
        <w:rPr>
          <w:lang w:val="en-US"/>
        </w:rPr>
        <w:t>Decision 13/CP.19, paragraph 9.</w:t>
      </w:r>
      <w:proofErr w:type="gramEnd"/>
    </w:p>
  </w:footnote>
  <w:footnote w:id="5">
    <w:p w:rsidR="00737D16" w:rsidRPr="00993EBF" w:rsidRDefault="00737D16" w:rsidP="00EC121C">
      <w:pPr>
        <w:pStyle w:val="FootnoteText"/>
        <w:widowControl w:val="0"/>
        <w:rPr>
          <w:lang w:val="en-US"/>
        </w:rPr>
      </w:pPr>
      <w:r w:rsidRPr="00993EBF">
        <w:tab/>
      </w:r>
      <w:r w:rsidRPr="00993EBF">
        <w:rPr>
          <w:rStyle w:val="FootnoteReference"/>
        </w:rPr>
        <w:footnoteRef/>
      </w:r>
      <w:r w:rsidRPr="00993EBF">
        <w:tab/>
      </w:r>
      <w:proofErr w:type="gramStart"/>
      <w:r w:rsidRPr="00993EBF">
        <w:t>Decision 1/CP.16, paragraph 71(b).</w:t>
      </w:r>
      <w:proofErr w:type="gramEnd"/>
    </w:p>
  </w:footnote>
  <w:footnote w:id="6">
    <w:p w:rsidR="00737D16" w:rsidRPr="00993EBF" w:rsidRDefault="00737D16" w:rsidP="00EC121C">
      <w:pPr>
        <w:pStyle w:val="FootnoteText"/>
        <w:rPr>
          <w:lang w:val="en-US"/>
        </w:rPr>
      </w:pPr>
      <w:r w:rsidRPr="00993EBF">
        <w:tab/>
      </w:r>
      <w:r w:rsidRPr="00993EBF">
        <w:rPr>
          <w:rStyle w:val="FootnoteReference"/>
        </w:rPr>
        <w:footnoteRef/>
      </w:r>
      <w:r w:rsidRPr="00993EBF">
        <w:tab/>
      </w:r>
      <w:proofErr w:type="gramStart"/>
      <w:r w:rsidRPr="00993EBF">
        <w:t>D</w:t>
      </w:r>
      <w:proofErr w:type="spellStart"/>
      <w:r w:rsidRPr="00993EBF">
        <w:rPr>
          <w:lang w:val="en-US"/>
        </w:rPr>
        <w:t>ecision</w:t>
      </w:r>
      <w:proofErr w:type="spellEnd"/>
      <w:r w:rsidRPr="00993EBF">
        <w:rPr>
          <w:lang w:val="en-US"/>
        </w:rPr>
        <w:t xml:space="preserve"> 12/CP.17, annex.</w:t>
      </w:r>
      <w:proofErr w:type="gramEnd"/>
    </w:p>
  </w:footnote>
  <w:footnote w:id="7">
    <w:p w:rsidR="00737D16" w:rsidRPr="00993EBF" w:rsidRDefault="00737D16" w:rsidP="00EC121C">
      <w:pPr>
        <w:pStyle w:val="FootnoteText"/>
        <w:rPr>
          <w:lang w:val="en-US"/>
        </w:rPr>
      </w:pPr>
      <w:r w:rsidRPr="00993EBF">
        <w:tab/>
      </w:r>
      <w:r w:rsidRPr="00993EBF">
        <w:rPr>
          <w:rStyle w:val="FootnoteReference"/>
        </w:rPr>
        <w:footnoteRef/>
      </w:r>
      <w:r w:rsidRPr="00993EBF">
        <w:tab/>
      </w:r>
      <w:proofErr w:type="gramStart"/>
      <w:r w:rsidRPr="00993EBF">
        <w:rPr>
          <w:lang w:val="en-US"/>
        </w:rPr>
        <w:t>Decision 13/CP.19, annex, paragraph 1(a) and (b).</w:t>
      </w:r>
      <w:proofErr w:type="gramEnd"/>
    </w:p>
  </w:footnote>
  <w:footnote w:id="8">
    <w:p w:rsidR="00737D16" w:rsidRPr="00993EBF" w:rsidRDefault="00737D16" w:rsidP="00EC121C">
      <w:pPr>
        <w:pStyle w:val="FootnoteText"/>
        <w:rPr>
          <w:lang w:val="en-US"/>
        </w:rPr>
      </w:pPr>
      <w:r w:rsidRPr="00993EBF">
        <w:tab/>
      </w:r>
      <w:r w:rsidRPr="00993EBF">
        <w:rPr>
          <w:rStyle w:val="FootnoteReference"/>
        </w:rPr>
        <w:footnoteRef/>
      </w:r>
      <w:r w:rsidRPr="00993EBF">
        <w:tab/>
      </w:r>
      <w:proofErr w:type="gramStart"/>
      <w:r w:rsidRPr="00993EBF">
        <w:rPr>
          <w:lang w:val="en-US"/>
        </w:rPr>
        <w:t>Decision 13/CP.19, annex, paragraphs 1(b), 13 and 14.</w:t>
      </w:r>
      <w:proofErr w:type="gramEnd"/>
      <w:r w:rsidRPr="00993EBF">
        <w:rPr>
          <w:lang w:val="en-US"/>
        </w:rPr>
        <w:t xml:space="preserve"> </w:t>
      </w:r>
    </w:p>
  </w:footnote>
  <w:footnote w:id="9">
    <w:p w:rsidR="00737D16" w:rsidRPr="00993EBF" w:rsidRDefault="00737D16" w:rsidP="00EC121C">
      <w:pPr>
        <w:pStyle w:val="FootnoteText"/>
        <w:rPr>
          <w:lang w:val="en-US"/>
        </w:rPr>
      </w:pPr>
      <w:r w:rsidRPr="00993EBF">
        <w:tab/>
      </w:r>
      <w:r w:rsidRPr="00993EBF">
        <w:rPr>
          <w:rStyle w:val="FootnoteReference"/>
        </w:rPr>
        <w:footnoteRef/>
      </w:r>
      <w:r w:rsidRPr="00993EBF">
        <w:tab/>
        <w:t xml:space="preserve">&lt;http://unfccc.int/8414&gt;. </w:t>
      </w:r>
    </w:p>
  </w:footnote>
  <w:footnote w:id="10">
    <w:p w:rsidR="00737D16" w:rsidRPr="004E038B" w:rsidRDefault="00737D16" w:rsidP="00332C38">
      <w:pPr>
        <w:pStyle w:val="FootnoteText"/>
        <w:rPr>
          <w:szCs w:val="18"/>
        </w:rPr>
      </w:pPr>
      <w:r w:rsidRPr="004E038B">
        <w:tab/>
      </w:r>
      <w:r w:rsidRPr="004E038B">
        <w:rPr>
          <w:rStyle w:val="FootnoteReference"/>
        </w:rPr>
        <w:footnoteRef/>
      </w:r>
      <w:r w:rsidRPr="004E038B">
        <w:tab/>
      </w:r>
      <w:r w:rsidRPr="004E038B">
        <w:rPr>
          <w:color w:val="000000"/>
          <w:szCs w:val="18"/>
        </w:rPr>
        <w:t>In decision 1/CP.16, paragraph 70, the COP encourages developing country Parties to contribute to mitigation actions in the forest sector by undertaking the following activities: reducing emissions from deforestation; reducing emissions from forest degradation; conservation of forest carbon stocks; sustainable management of forests; and enhancement of forest carbon stocks</w:t>
      </w:r>
      <w:r w:rsidRPr="004E038B">
        <w:rPr>
          <w:szCs w:val="18"/>
        </w:rPr>
        <w:t xml:space="preserve">. </w:t>
      </w:r>
    </w:p>
  </w:footnote>
  <w:footnote w:id="11">
    <w:p w:rsidR="003343F9" w:rsidRPr="004E038B" w:rsidRDefault="003343F9" w:rsidP="003343F9">
      <w:pPr>
        <w:pStyle w:val="FootnoteText"/>
        <w:rPr>
          <w:lang w:val="en-US"/>
        </w:rPr>
      </w:pPr>
      <w:r w:rsidRPr="004E038B">
        <w:rPr>
          <w:lang w:val="es-EC"/>
        </w:rPr>
        <w:tab/>
      </w:r>
      <w:r w:rsidRPr="004E038B">
        <w:rPr>
          <w:rStyle w:val="FootnoteReference"/>
        </w:rPr>
        <w:footnoteRef/>
      </w:r>
      <w:r w:rsidRPr="004E038B">
        <w:rPr>
          <w:lang w:val="en-US"/>
        </w:rPr>
        <w:tab/>
        <w:t xml:space="preserve">Hansen MC, </w:t>
      </w:r>
      <w:proofErr w:type="spellStart"/>
      <w:r w:rsidRPr="004E038B">
        <w:rPr>
          <w:lang w:val="en-US"/>
        </w:rPr>
        <w:t>Potapov</w:t>
      </w:r>
      <w:proofErr w:type="spellEnd"/>
      <w:r w:rsidRPr="004E038B">
        <w:rPr>
          <w:lang w:val="en-US"/>
        </w:rPr>
        <w:t xml:space="preserve"> PV, Moore R, </w:t>
      </w:r>
      <w:proofErr w:type="spellStart"/>
      <w:r w:rsidRPr="004E038B">
        <w:rPr>
          <w:lang w:val="en-US"/>
        </w:rPr>
        <w:t>Hancher</w:t>
      </w:r>
      <w:proofErr w:type="spellEnd"/>
      <w:r w:rsidRPr="004E038B">
        <w:rPr>
          <w:lang w:val="en-US"/>
        </w:rPr>
        <w:t xml:space="preserve"> M, </w:t>
      </w:r>
      <w:proofErr w:type="spellStart"/>
      <w:r w:rsidRPr="004E038B">
        <w:rPr>
          <w:lang w:val="en-US"/>
        </w:rPr>
        <w:t>Turubanova</w:t>
      </w:r>
      <w:proofErr w:type="spellEnd"/>
      <w:r w:rsidRPr="004E038B">
        <w:rPr>
          <w:lang w:val="en-US"/>
        </w:rPr>
        <w:t xml:space="preserve"> SA, </w:t>
      </w:r>
      <w:proofErr w:type="spellStart"/>
      <w:r w:rsidRPr="004E038B">
        <w:rPr>
          <w:lang w:val="en-US"/>
        </w:rPr>
        <w:t>Tuykavina</w:t>
      </w:r>
      <w:proofErr w:type="spellEnd"/>
      <w:r w:rsidRPr="004E038B">
        <w:rPr>
          <w:lang w:val="en-US"/>
        </w:rPr>
        <w:t xml:space="preserve"> A, </w:t>
      </w:r>
      <w:proofErr w:type="spellStart"/>
      <w:r w:rsidRPr="004E038B">
        <w:rPr>
          <w:lang w:val="en-US"/>
        </w:rPr>
        <w:t>Thau</w:t>
      </w:r>
      <w:proofErr w:type="spellEnd"/>
      <w:r w:rsidRPr="004E038B">
        <w:rPr>
          <w:lang w:val="en-US"/>
        </w:rPr>
        <w:t xml:space="preserve"> D, </w:t>
      </w:r>
      <w:proofErr w:type="spellStart"/>
      <w:r w:rsidRPr="004E038B">
        <w:rPr>
          <w:lang w:val="en-US"/>
        </w:rPr>
        <w:t>Stehman</w:t>
      </w:r>
      <w:proofErr w:type="spellEnd"/>
      <w:r w:rsidRPr="004E038B">
        <w:rPr>
          <w:lang w:val="en-US"/>
        </w:rPr>
        <w:t xml:space="preserve"> SV, Goetz SJ, Loveland TR, </w:t>
      </w:r>
      <w:proofErr w:type="spellStart"/>
      <w:r w:rsidRPr="004E038B">
        <w:rPr>
          <w:lang w:val="en-US"/>
        </w:rPr>
        <w:t>Kommareddy</w:t>
      </w:r>
      <w:proofErr w:type="spellEnd"/>
      <w:r w:rsidRPr="004E038B">
        <w:rPr>
          <w:lang w:val="en-US"/>
        </w:rPr>
        <w:t xml:space="preserve"> A, </w:t>
      </w:r>
      <w:proofErr w:type="spellStart"/>
      <w:r w:rsidRPr="004E038B">
        <w:rPr>
          <w:lang w:val="en-US"/>
        </w:rPr>
        <w:t>Egorov</w:t>
      </w:r>
      <w:proofErr w:type="spellEnd"/>
      <w:r w:rsidRPr="004E038B">
        <w:rPr>
          <w:lang w:val="en-US"/>
        </w:rPr>
        <w:t xml:space="preserve"> A, </w:t>
      </w:r>
      <w:proofErr w:type="spellStart"/>
      <w:r w:rsidRPr="004E038B">
        <w:rPr>
          <w:lang w:val="en-US"/>
        </w:rPr>
        <w:t>Chini</w:t>
      </w:r>
      <w:proofErr w:type="spellEnd"/>
      <w:r w:rsidRPr="004E038B">
        <w:rPr>
          <w:lang w:val="en-US"/>
        </w:rPr>
        <w:t xml:space="preserve"> L, Justice CO and </w:t>
      </w:r>
      <w:proofErr w:type="spellStart"/>
      <w:r w:rsidRPr="004E038B">
        <w:rPr>
          <w:lang w:val="en-US"/>
        </w:rPr>
        <w:t>Townshen</w:t>
      </w:r>
      <w:proofErr w:type="spellEnd"/>
      <w:r w:rsidRPr="004E038B">
        <w:rPr>
          <w:lang w:val="en-US"/>
        </w:rPr>
        <w:t xml:space="preserve"> JRG. </w:t>
      </w:r>
      <w:r w:rsidRPr="00E10E3C">
        <w:rPr>
          <w:lang w:val="en-US"/>
        </w:rPr>
        <w:t>2013</w:t>
      </w:r>
      <w:proofErr w:type="gramStart"/>
      <w:r w:rsidRPr="00E10E3C">
        <w:rPr>
          <w:lang w:val="en-US"/>
        </w:rPr>
        <w:t>.</w:t>
      </w:r>
      <w:r w:rsidRPr="004E038B">
        <w:rPr>
          <w:bCs/>
          <w:lang w:val="en-US"/>
        </w:rPr>
        <w:t>High</w:t>
      </w:r>
      <w:proofErr w:type="gramEnd"/>
      <w:r w:rsidRPr="004E038B">
        <w:rPr>
          <w:bCs/>
          <w:lang w:val="en-US"/>
        </w:rPr>
        <w:t xml:space="preserve">-resolution global maps of 21st-century forest cover change. </w:t>
      </w:r>
      <w:proofErr w:type="gramStart"/>
      <w:r w:rsidRPr="004E038B">
        <w:rPr>
          <w:i/>
          <w:lang w:val="en-US"/>
        </w:rPr>
        <w:t>Science</w:t>
      </w:r>
      <w:r w:rsidRPr="004E038B">
        <w:rPr>
          <w:lang w:val="en-US"/>
        </w:rPr>
        <w:t>.</w:t>
      </w:r>
      <w:proofErr w:type="gramEnd"/>
      <w:r w:rsidRPr="004E038B">
        <w:rPr>
          <w:lang w:val="en-US"/>
        </w:rPr>
        <w:t xml:space="preserve"> 342: pp.850–853.</w:t>
      </w:r>
    </w:p>
  </w:footnote>
  <w:footnote w:id="12">
    <w:p w:rsidR="003343F9" w:rsidRPr="003343F9" w:rsidRDefault="003343F9" w:rsidP="003343F9">
      <w:pPr>
        <w:pStyle w:val="FootnoteText"/>
      </w:pPr>
      <w:r>
        <w:tab/>
      </w:r>
      <w:r>
        <w:rPr>
          <w:rStyle w:val="FootnoteReference"/>
        </w:rPr>
        <w:footnoteRef/>
      </w:r>
      <w:r>
        <w:tab/>
      </w:r>
      <w:proofErr w:type="spellStart"/>
      <w:proofErr w:type="gramStart"/>
      <w:r>
        <w:t>Olofsson</w:t>
      </w:r>
      <w:proofErr w:type="spellEnd"/>
      <w:r>
        <w:t xml:space="preserve">, P., </w:t>
      </w:r>
      <w:proofErr w:type="spellStart"/>
      <w:r>
        <w:t>Foody</w:t>
      </w:r>
      <w:proofErr w:type="spellEnd"/>
      <w:r>
        <w:t xml:space="preserve">, G. M., </w:t>
      </w:r>
      <w:proofErr w:type="spellStart"/>
      <w:r>
        <w:t>Stehman</w:t>
      </w:r>
      <w:proofErr w:type="spellEnd"/>
      <w:r>
        <w:t>, S. V., &amp; Woodcock, C. E. 201</w:t>
      </w:r>
      <w:r w:rsidR="00A5521F">
        <w:t>4</w:t>
      </w:r>
      <w:r>
        <w:t>.</w:t>
      </w:r>
      <w:proofErr w:type="gramEnd"/>
      <w:r>
        <w:t xml:space="preserve"> </w:t>
      </w:r>
      <w:r w:rsidR="00A5521F" w:rsidRPr="00A5521F">
        <w:t xml:space="preserve">Good practices for estimating area and assessing accuracy of land </w:t>
      </w:r>
      <w:proofErr w:type="spellStart"/>
      <w:r w:rsidR="00A5521F" w:rsidRPr="00A5521F">
        <w:t>change</w:t>
      </w:r>
      <w:r>
        <w:t>.Remote</w:t>
      </w:r>
      <w:proofErr w:type="spellEnd"/>
      <w:r>
        <w:t xml:space="preserve"> </w:t>
      </w:r>
      <w:proofErr w:type="gramStart"/>
      <w:r>
        <w:t>Sensing</w:t>
      </w:r>
      <w:proofErr w:type="gramEnd"/>
      <w:r>
        <w:t xml:space="preserve"> of Environment, 1</w:t>
      </w:r>
      <w:r w:rsidR="00CB52A7">
        <w:t>48</w:t>
      </w:r>
      <w:r>
        <w:t xml:space="preserve">, </w:t>
      </w:r>
      <w:r w:rsidR="00CB52A7">
        <w:t>42-57</w:t>
      </w:r>
      <w:r>
        <w:t xml:space="preserve">. </w:t>
      </w:r>
    </w:p>
  </w:footnote>
  <w:footnote w:id="13">
    <w:p w:rsidR="00734266" w:rsidRPr="00171CD0" w:rsidRDefault="006F045A">
      <w:pPr>
        <w:pStyle w:val="FootnoteText"/>
        <w:rPr>
          <w:lang w:val="en-US"/>
        </w:rPr>
      </w:pPr>
      <w:r>
        <w:tab/>
      </w:r>
      <w:r w:rsidR="00734266">
        <w:rPr>
          <w:rStyle w:val="FootnoteReference"/>
        </w:rPr>
        <w:footnoteRef/>
      </w:r>
      <w:r w:rsidR="00171CD0">
        <w:tab/>
      </w:r>
      <w:proofErr w:type="gramStart"/>
      <w:r w:rsidR="00734266">
        <w:rPr>
          <w:lang w:val="en-NZ"/>
        </w:rPr>
        <w:t>FAO</w:t>
      </w:r>
      <w:r w:rsidR="00E95198">
        <w:rPr>
          <w:lang w:val="en-NZ"/>
        </w:rPr>
        <w:t>.</w:t>
      </w:r>
      <w:proofErr w:type="gramEnd"/>
      <w:r w:rsidR="00E95198">
        <w:rPr>
          <w:lang w:val="en-NZ"/>
        </w:rPr>
        <w:t xml:space="preserve"> 2016</w:t>
      </w:r>
      <w:r w:rsidR="00AA034B">
        <w:rPr>
          <w:lang w:val="en-NZ"/>
        </w:rPr>
        <w:t xml:space="preserve">. Map Accuracy Assessment and Area Estimation: A Practical Guide. </w:t>
      </w:r>
      <w:proofErr w:type="gramStart"/>
      <w:r w:rsidR="00AA034B">
        <w:rPr>
          <w:lang w:val="en-NZ"/>
        </w:rPr>
        <w:t>Food and Agriculture Organization of the United Nations Rome 2016</w:t>
      </w:r>
      <w:r w:rsidR="00171CD0">
        <w:rPr>
          <w:lang w:val="en-NZ"/>
        </w:rPr>
        <w:t>.</w:t>
      </w:r>
      <w:proofErr w:type="gramEnd"/>
    </w:p>
  </w:footnote>
  <w:footnote w:id="14">
    <w:p w:rsidR="00737D16" w:rsidRPr="00993EBF" w:rsidRDefault="00737D16" w:rsidP="002B148E">
      <w:pPr>
        <w:pStyle w:val="FootnoteText"/>
        <w:rPr>
          <w:lang w:val="en-US"/>
        </w:rPr>
      </w:pPr>
      <w:r w:rsidRPr="00993EBF">
        <w:tab/>
      </w:r>
      <w:r w:rsidRPr="00993EBF">
        <w:rPr>
          <w:rStyle w:val="FootnoteReference"/>
        </w:rPr>
        <w:footnoteRef/>
      </w:r>
      <w:r w:rsidRPr="00993EBF">
        <w:tab/>
      </w:r>
      <w:r w:rsidRPr="00993EBF">
        <w:rPr>
          <w:lang w:val="en-US"/>
        </w:rPr>
        <w:t>See the modified FREL submission for the websites referred to by Brazil.</w:t>
      </w:r>
    </w:p>
  </w:footnote>
  <w:footnote w:id="15">
    <w:p w:rsidR="00737D16" w:rsidRPr="009B4A74" w:rsidRDefault="00737D16" w:rsidP="002B148E">
      <w:pPr>
        <w:pStyle w:val="FootnoteText"/>
        <w:rPr>
          <w:lang w:val="en-US"/>
        </w:rPr>
      </w:pPr>
      <w:r w:rsidRPr="00993EBF">
        <w:tab/>
      </w:r>
      <w:r w:rsidRPr="00993EBF">
        <w:rPr>
          <w:rStyle w:val="FootnoteReference"/>
        </w:rPr>
        <w:footnoteRef/>
      </w:r>
      <w:r w:rsidRPr="00993EBF">
        <w:tab/>
      </w:r>
      <w:proofErr w:type="gramStart"/>
      <w:r w:rsidRPr="00993EBF">
        <w:rPr>
          <w:lang w:val="en-US"/>
        </w:rPr>
        <w:t>Decision 13/CP.19, annex, paragraph 1(b), and decision 12/CP.17, paragraph 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16" w:rsidRDefault="00737D16">
    <w:pPr>
      <w:pStyle w:val="Header"/>
    </w:pPr>
    <w:r w:rsidRPr="008739FD">
      <w:t>FCCC/TAR/201</w:t>
    </w:r>
    <w:r>
      <w:t>6</w:t>
    </w:r>
    <w:r w:rsidRPr="008739FD">
      <w:t>/</w:t>
    </w:r>
    <w:r>
      <w:t>ETH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16" w:rsidRDefault="00737D16" w:rsidP="008739FD">
    <w:pPr>
      <w:pStyle w:val="Header"/>
      <w:jc w:val="right"/>
    </w:pPr>
    <w:r w:rsidRPr="008739FD">
      <w:t>FCCC/TAR/201</w:t>
    </w:r>
    <w:r>
      <w:t>6</w:t>
    </w:r>
    <w:r w:rsidRPr="008739FD">
      <w:t>/</w:t>
    </w:r>
    <w:r>
      <w:t>ETH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3354E"/>
    <w:multiLevelType w:val="multilevel"/>
    <w:tmpl w:val="459035DA"/>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1277"/>
        </w:tabs>
        <w:ind w:left="1844" w:firstLine="0"/>
      </w:pPr>
      <w:rPr>
        <w:rFonts w:ascii="Times New Roman" w:hAnsi="Times New Roman" w:cs="Times New Roman" w:hint="default"/>
        <w:b w:val="0"/>
        <w:i w:val="0"/>
        <w:color w:val="000000" w:themeColor="text1"/>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2">
    <w:nsid w:val="21B26658"/>
    <w:multiLevelType w:val="hybridMultilevel"/>
    <w:tmpl w:val="5D8A0C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C64F00"/>
    <w:multiLevelType w:val="multilevel"/>
    <w:tmpl w:val="94AAC120"/>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844"/>
        </w:tabs>
        <w:ind w:left="1844" w:hanging="567"/>
      </w:pPr>
      <w:rPr>
        <w:rFonts w:hint="default"/>
        <w:i w:val="0"/>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4">
    <w:nsid w:val="4DBD16D2"/>
    <w:multiLevelType w:val="hybridMultilevel"/>
    <w:tmpl w:val="8D626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24C26"/>
    <w:multiLevelType w:val="hybridMultilevel"/>
    <w:tmpl w:val="4B16E8A0"/>
    <w:lvl w:ilvl="0" w:tplc="E32493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B1CDB"/>
    <w:multiLevelType w:val="hybridMultilevel"/>
    <w:tmpl w:val="4D2CFD70"/>
    <w:lvl w:ilvl="0" w:tplc="D8CED3C6">
      <w:start w:val="1"/>
      <w:numFmt w:val="bullet"/>
      <w:lvlText w:val="−"/>
      <w:lvlJc w:val="left"/>
      <w:pPr>
        <w:ind w:left="1495" w:hanging="360"/>
      </w:pPr>
      <w:rPr>
        <w:rFonts w:ascii="Times New Roman" w:hAnsi="Times New Roman" w:cs="Times New Roman"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BF55BBB"/>
    <w:multiLevelType w:val="hybridMultilevel"/>
    <w:tmpl w:val="F1B67002"/>
    <w:lvl w:ilvl="0" w:tplc="04090001">
      <w:start w:val="1"/>
      <w:numFmt w:val="bullet"/>
      <w:lvlText w:val=""/>
      <w:lvlJc w:val="left"/>
      <w:pPr>
        <w:ind w:left="1855"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start w:val="1"/>
      <w:numFmt w:val="bullet"/>
      <w:lvlText w:val=""/>
      <w:lvlJc w:val="left"/>
      <w:pPr>
        <w:ind w:left="3295" w:hanging="360"/>
      </w:pPr>
      <w:rPr>
        <w:rFonts w:ascii="Wingdings" w:hAnsi="Wingdings" w:hint="default"/>
      </w:rPr>
    </w:lvl>
    <w:lvl w:ilvl="3" w:tplc="0409000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9">
    <w:nsid w:val="7CCE5040"/>
    <w:multiLevelType w:val="hybridMultilevel"/>
    <w:tmpl w:val="9B721292"/>
    <w:lvl w:ilvl="0" w:tplc="D6CCCC0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6"/>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4"/>
  </w:num>
  <w:num w:numId="31">
    <w:abstractNumId w:val="2"/>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Nemitz">
    <w15:presenceInfo w15:providerId="None" w15:userId="Dirk Nemitz"/>
  </w15:person>
  <w15:person w15:author="Alexandra Halpern">
    <w15:presenceInfo w15:providerId="AD" w15:userId="S-1-5-21-26508437-144452904-755307947-2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B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1"/>
  <w:defaultTabStop w:val="567"/>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85"/>
    <w:rsid w:val="0000451B"/>
    <w:rsid w:val="00004A30"/>
    <w:rsid w:val="00004DB0"/>
    <w:rsid w:val="0001078C"/>
    <w:rsid w:val="00011783"/>
    <w:rsid w:val="000153F7"/>
    <w:rsid w:val="00021BB6"/>
    <w:rsid w:val="00022443"/>
    <w:rsid w:val="00024066"/>
    <w:rsid w:val="0002612D"/>
    <w:rsid w:val="00027037"/>
    <w:rsid w:val="00032DC9"/>
    <w:rsid w:val="0003397D"/>
    <w:rsid w:val="00034879"/>
    <w:rsid w:val="00036235"/>
    <w:rsid w:val="0004089B"/>
    <w:rsid w:val="00040C4F"/>
    <w:rsid w:val="000423A6"/>
    <w:rsid w:val="00042F51"/>
    <w:rsid w:val="00046C92"/>
    <w:rsid w:val="00047DF6"/>
    <w:rsid w:val="00050ABE"/>
    <w:rsid w:val="000555B3"/>
    <w:rsid w:val="00055CBF"/>
    <w:rsid w:val="000561BD"/>
    <w:rsid w:val="00056E9E"/>
    <w:rsid w:val="00057A8E"/>
    <w:rsid w:val="00060F86"/>
    <w:rsid w:val="000657B4"/>
    <w:rsid w:val="00070D83"/>
    <w:rsid w:val="000726F2"/>
    <w:rsid w:val="00073762"/>
    <w:rsid w:val="00074855"/>
    <w:rsid w:val="00076113"/>
    <w:rsid w:val="000819E9"/>
    <w:rsid w:val="0008398C"/>
    <w:rsid w:val="00083D5B"/>
    <w:rsid w:val="000862D3"/>
    <w:rsid w:val="00086D1D"/>
    <w:rsid w:val="00087409"/>
    <w:rsid w:val="000913E6"/>
    <w:rsid w:val="000925E9"/>
    <w:rsid w:val="00093044"/>
    <w:rsid w:val="000941F2"/>
    <w:rsid w:val="000A00EB"/>
    <w:rsid w:val="000A2BCE"/>
    <w:rsid w:val="000A399F"/>
    <w:rsid w:val="000A566F"/>
    <w:rsid w:val="000B1A02"/>
    <w:rsid w:val="000B1FD0"/>
    <w:rsid w:val="000B43B5"/>
    <w:rsid w:val="000B4738"/>
    <w:rsid w:val="000B5010"/>
    <w:rsid w:val="000B5099"/>
    <w:rsid w:val="000B69A4"/>
    <w:rsid w:val="000C0EE7"/>
    <w:rsid w:val="000C24E3"/>
    <w:rsid w:val="000C5173"/>
    <w:rsid w:val="000C62D8"/>
    <w:rsid w:val="000D0535"/>
    <w:rsid w:val="000D5DED"/>
    <w:rsid w:val="000D6D4A"/>
    <w:rsid w:val="000D7FB4"/>
    <w:rsid w:val="000E07E7"/>
    <w:rsid w:val="000E3445"/>
    <w:rsid w:val="000E5A58"/>
    <w:rsid w:val="000F2452"/>
    <w:rsid w:val="000F64EE"/>
    <w:rsid w:val="001007C9"/>
    <w:rsid w:val="00102059"/>
    <w:rsid w:val="00106384"/>
    <w:rsid w:val="00106623"/>
    <w:rsid w:val="0011177A"/>
    <w:rsid w:val="0011470D"/>
    <w:rsid w:val="00116DD2"/>
    <w:rsid w:val="00117056"/>
    <w:rsid w:val="0011781E"/>
    <w:rsid w:val="00120E84"/>
    <w:rsid w:val="00122507"/>
    <w:rsid w:val="00123C52"/>
    <w:rsid w:val="00125B59"/>
    <w:rsid w:val="00127311"/>
    <w:rsid w:val="001328F9"/>
    <w:rsid w:val="00133570"/>
    <w:rsid w:val="001338A3"/>
    <w:rsid w:val="00140E91"/>
    <w:rsid w:val="001411DE"/>
    <w:rsid w:val="001442DF"/>
    <w:rsid w:val="00144AB3"/>
    <w:rsid w:val="001466CC"/>
    <w:rsid w:val="0015132D"/>
    <w:rsid w:val="00152A6E"/>
    <w:rsid w:val="00156177"/>
    <w:rsid w:val="001600D9"/>
    <w:rsid w:val="00160A12"/>
    <w:rsid w:val="00162AC2"/>
    <w:rsid w:val="00162DB2"/>
    <w:rsid w:val="0016365A"/>
    <w:rsid w:val="001637EA"/>
    <w:rsid w:val="0016749C"/>
    <w:rsid w:val="00171CD0"/>
    <w:rsid w:val="00172CF0"/>
    <w:rsid w:val="001738F1"/>
    <w:rsid w:val="00174A05"/>
    <w:rsid w:val="00176451"/>
    <w:rsid w:val="00177074"/>
    <w:rsid w:val="001773A4"/>
    <w:rsid w:val="0018191D"/>
    <w:rsid w:val="001835D3"/>
    <w:rsid w:val="00183C18"/>
    <w:rsid w:val="00184C03"/>
    <w:rsid w:val="00185D2C"/>
    <w:rsid w:val="00186314"/>
    <w:rsid w:val="00186A4F"/>
    <w:rsid w:val="00187FD4"/>
    <w:rsid w:val="001906D0"/>
    <w:rsid w:val="00193EA0"/>
    <w:rsid w:val="0019430F"/>
    <w:rsid w:val="001945C7"/>
    <w:rsid w:val="00194724"/>
    <w:rsid w:val="001A30D6"/>
    <w:rsid w:val="001A34FE"/>
    <w:rsid w:val="001A7607"/>
    <w:rsid w:val="001B085A"/>
    <w:rsid w:val="001B0A15"/>
    <w:rsid w:val="001B0B1B"/>
    <w:rsid w:val="001B1483"/>
    <w:rsid w:val="001B330F"/>
    <w:rsid w:val="001B4031"/>
    <w:rsid w:val="001B424A"/>
    <w:rsid w:val="001B4E1F"/>
    <w:rsid w:val="001B7894"/>
    <w:rsid w:val="001C1139"/>
    <w:rsid w:val="001C15DF"/>
    <w:rsid w:val="001C2F54"/>
    <w:rsid w:val="001E6338"/>
    <w:rsid w:val="001F29E5"/>
    <w:rsid w:val="001F73EE"/>
    <w:rsid w:val="002025E1"/>
    <w:rsid w:val="002056AC"/>
    <w:rsid w:val="00206FD0"/>
    <w:rsid w:val="0020756A"/>
    <w:rsid w:val="002124B6"/>
    <w:rsid w:val="00212BB2"/>
    <w:rsid w:val="00213701"/>
    <w:rsid w:val="00213902"/>
    <w:rsid w:val="002144E6"/>
    <w:rsid w:val="002153F5"/>
    <w:rsid w:val="002162A2"/>
    <w:rsid w:val="00216E62"/>
    <w:rsid w:val="00217CBD"/>
    <w:rsid w:val="0022121D"/>
    <w:rsid w:val="00223453"/>
    <w:rsid w:val="002237EE"/>
    <w:rsid w:val="00223820"/>
    <w:rsid w:val="00224226"/>
    <w:rsid w:val="00224EB2"/>
    <w:rsid w:val="0023025B"/>
    <w:rsid w:val="00230D0F"/>
    <w:rsid w:val="00231FB5"/>
    <w:rsid w:val="00232479"/>
    <w:rsid w:val="002335F2"/>
    <w:rsid w:val="002349C2"/>
    <w:rsid w:val="002353C6"/>
    <w:rsid w:val="00236172"/>
    <w:rsid w:val="002368CF"/>
    <w:rsid w:val="002379F4"/>
    <w:rsid w:val="00240B17"/>
    <w:rsid w:val="002435DB"/>
    <w:rsid w:val="00243851"/>
    <w:rsid w:val="0024447B"/>
    <w:rsid w:val="00246888"/>
    <w:rsid w:val="00250037"/>
    <w:rsid w:val="00251B4C"/>
    <w:rsid w:val="00251FF9"/>
    <w:rsid w:val="00253C9F"/>
    <w:rsid w:val="00256962"/>
    <w:rsid w:val="00256CFB"/>
    <w:rsid w:val="00257AA3"/>
    <w:rsid w:val="0026227B"/>
    <w:rsid w:val="002625BB"/>
    <w:rsid w:val="00264F17"/>
    <w:rsid w:val="002727B7"/>
    <w:rsid w:val="00273E8E"/>
    <w:rsid w:val="00275280"/>
    <w:rsid w:val="00276A17"/>
    <w:rsid w:val="002779EB"/>
    <w:rsid w:val="00280DFF"/>
    <w:rsid w:val="00283906"/>
    <w:rsid w:val="0028390D"/>
    <w:rsid w:val="00284701"/>
    <w:rsid w:val="00284743"/>
    <w:rsid w:val="00284BD4"/>
    <w:rsid w:val="002858CA"/>
    <w:rsid w:val="002859C9"/>
    <w:rsid w:val="00287F57"/>
    <w:rsid w:val="0029007C"/>
    <w:rsid w:val="00290D77"/>
    <w:rsid w:val="00292DC3"/>
    <w:rsid w:val="00295866"/>
    <w:rsid w:val="0029733B"/>
    <w:rsid w:val="00297C1E"/>
    <w:rsid w:val="002A259F"/>
    <w:rsid w:val="002A2D4C"/>
    <w:rsid w:val="002A6CDF"/>
    <w:rsid w:val="002B0283"/>
    <w:rsid w:val="002B0DDF"/>
    <w:rsid w:val="002B148E"/>
    <w:rsid w:val="002B30B0"/>
    <w:rsid w:val="002B37D2"/>
    <w:rsid w:val="002B446B"/>
    <w:rsid w:val="002B5DC9"/>
    <w:rsid w:val="002B7133"/>
    <w:rsid w:val="002B72CE"/>
    <w:rsid w:val="002B7532"/>
    <w:rsid w:val="002B7F86"/>
    <w:rsid w:val="002C051E"/>
    <w:rsid w:val="002C11F7"/>
    <w:rsid w:val="002C1D5F"/>
    <w:rsid w:val="002C3AD0"/>
    <w:rsid w:val="002C4EEB"/>
    <w:rsid w:val="002C52A6"/>
    <w:rsid w:val="002D10F6"/>
    <w:rsid w:val="002D2069"/>
    <w:rsid w:val="002D782F"/>
    <w:rsid w:val="002E1CB4"/>
    <w:rsid w:val="002E2295"/>
    <w:rsid w:val="002E5BF2"/>
    <w:rsid w:val="002E748F"/>
    <w:rsid w:val="002F304A"/>
    <w:rsid w:val="002F60E8"/>
    <w:rsid w:val="003012AF"/>
    <w:rsid w:val="00302EAB"/>
    <w:rsid w:val="00305454"/>
    <w:rsid w:val="00306423"/>
    <w:rsid w:val="00306B1D"/>
    <w:rsid w:val="003147E4"/>
    <w:rsid w:val="00315709"/>
    <w:rsid w:val="00315AA6"/>
    <w:rsid w:val="00315D28"/>
    <w:rsid w:val="00316615"/>
    <w:rsid w:val="00316E7C"/>
    <w:rsid w:val="00322811"/>
    <w:rsid w:val="0032553B"/>
    <w:rsid w:val="00327575"/>
    <w:rsid w:val="00327B89"/>
    <w:rsid w:val="00330BE4"/>
    <w:rsid w:val="00331E48"/>
    <w:rsid w:val="00332C38"/>
    <w:rsid w:val="003343F9"/>
    <w:rsid w:val="00336DC3"/>
    <w:rsid w:val="00337EF7"/>
    <w:rsid w:val="003415A2"/>
    <w:rsid w:val="003441DE"/>
    <w:rsid w:val="00344AD3"/>
    <w:rsid w:val="00345DF1"/>
    <w:rsid w:val="00347AC7"/>
    <w:rsid w:val="00347C69"/>
    <w:rsid w:val="003537B8"/>
    <w:rsid w:val="003544BD"/>
    <w:rsid w:val="00356B44"/>
    <w:rsid w:val="003570B2"/>
    <w:rsid w:val="00361165"/>
    <w:rsid w:val="00361821"/>
    <w:rsid w:val="00361A82"/>
    <w:rsid w:val="00364B85"/>
    <w:rsid w:val="003674F3"/>
    <w:rsid w:val="00373F95"/>
    <w:rsid w:val="00374D01"/>
    <w:rsid w:val="0037511B"/>
    <w:rsid w:val="00375F53"/>
    <w:rsid w:val="003762BA"/>
    <w:rsid w:val="00381165"/>
    <w:rsid w:val="0038122F"/>
    <w:rsid w:val="00381632"/>
    <w:rsid w:val="00383494"/>
    <w:rsid w:val="00383F91"/>
    <w:rsid w:val="00385C48"/>
    <w:rsid w:val="003903D9"/>
    <w:rsid w:val="003927D3"/>
    <w:rsid w:val="003953EE"/>
    <w:rsid w:val="003967A0"/>
    <w:rsid w:val="00397CBD"/>
    <w:rsid w:val="003A1A23"/>
    <w:rsid w:val="003A4936"/>
    <w:rsid w:val="003A54D0"/>
    <w:rsid w:val="003A7144"/>
    <w:rsid w:val="003A7682"/>
    <w:rsid w:val="003B2C11"/>
    <w:rsid w:val="003C12E6"/>
    <w:rsid w:val="003C3854"/>
    <w:rsid w:val="003C66F0"/>
    <w:rsid w:val="003C6E2A"/>
    <w:rsid w:val="003C75B9"/>
    <w:rsid w:val="003D0856"/>
    <w:rsid w:val="003D108B"/>
    <w:rsid w:val="003D1A53"/>
    <w:rsid w:val="003D4715"/>
    <w:rsid w:val="003D6B47"/>
    <w:rsid w:val="003E2583"/>
    <w:rsid w:val="003E3118"/>
    <w:rsid w:val="003E614A"/>
    <w:rsid w:val="003F0485"/>
    <w:rsid w:val="003F068F"/>
    <w:rsid w:val="003F0A2C"/>
    <w:rsid w:val="003F61B4"/>
    <w:rsid w:val="003F7301"/>
    <w:rsid w:val="0040120E"/>
    <w:rsid w:val="00401B41"/>
    <w:rsid w:val="0040244E"/>
    <w:rsid w:val="00402DBC"/>
    <w:rsid w:val="004038A9"/>
    <w:rsid w:val="00403D8F"/>
    <w:rsid w:val="004061BF"/>
    <w:rsid w:val="0040688C"/>
    <w:rsid w:val="00410508"/>
    <w:rsid w:val="00411BFD"/>
    <w:rsid w:val="004138BF"/>
    <w:rsid w:val="00413942"/>
    <w:rsid w:val="00416EBD"/>
    <w:rsid w:val="00417292"/>
    <w:rsid w:val="00420389"/>
    <w:rsid w:val="004210AC"/>
    <w:rsid w:val="00421A2E"/>
    <w:rsid w:val="00422A55"/>
    <w:rsid w:val="004260FB"/>
    <w:rsid w:val="00427DA2"/>
    <w:rsid w:val="004308CF"/>
    <w:rsid w:val="0043521F"/>
    <w:rsid w:val="0043729E"/>
    <w:rsid w:val="00437F9C"/>
    <w:rsid w:val="00440DA5"/>
    <w:rsid w:val="004412C9"/>
    <w:rsid w:val="00442C53"/>
    <w:rsid w:val="00444E66"/>
    <w:rsid w:val="004473E6"/>
    <w:rsid w:val="00447726"/>
    <w:rsid w:val="004524D4"/>
    <w:rsid w:val="00453CAE"/>
    <w:rsid w:val="00454E95"/>
    <w:rsid w:val="00455EAD"/>
    <w:rsid w:val="004578AD"/>
    <w:rsid w:val="00457CDA"/>
    <w:rsid w:val="00457FEF"/>
    <w:rsid w:val="00464806"/>
    <w:rsid w:val="00465DDF"/>
    <w:rsid w:val="00471B4F"/>
    <w:rsid w:val="00472C31"/>
    <w:rsid w:val="00477F41"/>
    <w:rsid w:val="004812E6"/>
    <w:rsid w:val="00482F42"/>
    <w:rsid w:val="0048523B"/>
    <w:rsid w:val="00485971"/>
    <w:rsid w:val="00487DED"/>
    <w:rsid w:val="004977C3"/>
    <w:rsid w:val="004A67DD"/>
    <w:rsid w:val="004A7F09"/>
    <w:rsid w:val="004B1CE3"/>
    <w:rsid w:val="004B1D22"/>
    <w:rsid w:val="004B2869"/>
    <w:rsid w:val="004B3196"/>
    <w:rsid w:val="004B501A"/>
    <w:rsid w:val="004B643C"/>
    <w:rsid w:val="004B6C31"/>
    <w:rsid w:val="004B7771"/>
    <w:rsid w:val="004C0912"/>
    <w:rsid w:val="004C0C9E"/>
    <w:rsid w:val="004C4FA9"/>
    <w:rsid w:val="004C62A2"/>
    <w:rsid w:val="004D2CE5"/>
    <w:rsid w:val="004D4931"/>
    <w:rsid w:val="004D4EBB"/>
    <w:rsid w:val="004D72AF"/>
    <w:rsid w:val="004D7902"/>
    <w:rsid w:val="004E051E"/>
    <w:rsid w:val="004E2287"/>
    <w:rsid w:val="004E4C7F"/>
    <w:rsid w:val="004E53E2"/>
    <w:rsid w:val="004F0D45"/>
    <w:rsid w:val="004F213F"/>
    <w:rsid w:val="004F346A"/>
    <w:rsid w:val="004F615A"/>
    <w:rsid w:val="004F7B75"/>
    <w:rsid w:val="005030B1"/>
    <w:rsid w:val="00503373"/>
    <w:rsid w:val="005046E5"/>
    <w:rsid w:val="00505502"/>
    <w:rsid w:val="00511DF4"/>
    <w:rsid w:val="005216DC"/>
    <w:rsid w:val="005255F0"/>
    <w:rsid w:val="00526D81"/>
    <w:rsid w:val="005300A0"/>
    <w:rsid w:val="005324FA"/>
    <w:rsid w:val="005330D9"/>
    <w:rsid w:val="00533BC0"/>
    <w:rsid w:val="0053485B"/>
    <w:rsid w:val="00537EE7"/>
    <w:rsid w:val="005416D2"/>
    <w:rsid w:val="00541D27"/>
    <w:rsid w:val="005424B5"/>
    <w:rsid w:val="005464AA"/>
    <w:rsid w:val="00546735"/>
    <w:rsid w:val="005474C8"/>
    <w:rsid w:val="00551666"/>
    <w:rsid w:val="005540AC"/>
    <w:rsid w:val="005549B8"/>
    <w:rsid w:val="00555185"/>
    <w:rsid w:val="00555A17"/>
    <w:rsid w:val="005568B7"/>
    <w:rsid w:val="005609FF"/>
    <w:rsid w:val="00561113"/>
    <w:rsid w:val="005627AB"/>
    <w:rsid w:val="00563706"/>
    <w:rsid w:val="005637AB"/>
    <w:rsid w:val="00564023"/>
    <w:rsid w:val="005646D1"/>
    <w:rsid w:val="00565AF2"/>
    <w:rsid w:val="00566980"/>
    <w:rsid w:val="00566EFE"/>
    <w:rsid w:val="00571AB5"/>
    <w:rsid w:val="00573130"/>
    <w:rsid w:val="00576132"/>
    <w:rsid w:val="00576D70"/>
    <w:rsid w:val="00576F19"/>
    <w:rsid w:val="005902E3"/>
    <w:rsid w:val="0059086E"/>
    <w:rsid w:val="00591C6E"/>
    <w:rsid w:val="00592405"/>
    <w:rsid w:val="0059358E"/>
    <w:rsid w:val="00597AC4"/>
    <w:rsid w:val="005A0171"/>
    <w:rsid w:val="005A065F"/>
    <w:rsid w:val="005A1844"/>
    <w:rsid w:val="005A4589"/>
    <w:rsid w:val="005A4959"/>
    <w:rsid w:val="005B2C98"/>
    <w:rsid w:val="005B2F2F"/>
    <w:rsid w:val="005C08EC"/>
    <w:rsid w:val="005C291E"/>
    <w:rsid w:val="005C34D4"/>
    <w:rsid w:val="005D247E"/>
    <w:rsid w:val="005D29C4"/>
    <w:rsid w:val="005D49CD"/>
    <w:rsid w:val="005D61D0"/>
    <w:rsid w:val="005D6CB3"/>
    <w:rsid w:val="005E094C"/>
    <w:rsid w:val="005E10D4"/>
    <w:rsid w:val="005E4641"/>
    <w:rsid w:val="005E5691"/>
    <w:rsid w:val="005F35AC"/>
    <w:rsid w:val="005F4057"/>
    <w:rsid w:val="005F6DF5"/>
    <w:rsid w:val="005F7A49"/>
    <w:rsid w:val="006002E5"/>
    <w:rsid w:val="006011FF"/>
    <w:rsid w:val="00601526"/>
    <w:rsid w:val="00603D73"/>
    <w:rsid w:val="00604BDC"/>
    <w:rsid w:val="00607AD2"/>
    <w:rsid w:val="00611E89"/>
    <w:rsid w:val="006152BA"/>
    <w:rsid w:val="00617138"/>
    <w:rsid w:val="00617B57"/>
    <w:rsid w:val="00621FD7"/>
    <w:rsid w:val="00622F1F"/>
    <w:rsid w:val="00624241"/>
    <w:rsid w:val="00631EE2"/>
    <w:rsid w:val="00633BF3"/>
    <w:rsid w:val="0063667C"/>
    <w:rsid w:val="006379C7"/>
    <w:rsid w:val="00641438"/>
    <w:rsid w:val="00641F29"/>
    <w:rsid w:val="0064380D"/>
    <w:rsid w:val="0064423B"/>
    <w:rsid w:val="00644406"/>
    <w:rsid w:val="00653D3B"/>
    <w:rsid w:val="00655F79"/>
    <w:rsid w:val="00656B34"/>
    <w:rsid w:val="00657BE8"/>
    <w:rsid w:val="0066159F"/>
    <w:rsid w:val="00664610"/>
    <w:rsid w:val="0067106F"/>
    <w:rsid w:val="00675866"/>
    <w:rsid w:val="006810D8"/>
    <w:rsid w:val="00681262"/>
    <w:rsid w:val="006828B3"/>
    <w:rsid w:val="00682CBC"/>
    <w:rsid w:val="00687740"/>
    <w:rsid w:val="00692ECB"/>
    <w:rsid w:val="00693901"/>
    <w:rsid w:val="00694049"/>
    <w:rsid w:val="00696525"/>
    <w:rsid w:val="00696BFE"/>
    <w:rsid w:val="006973FA"/>
    <w:rsid w:val="006A0A58"/>
    <w:rsid w:val="006A3385"/>
    <w:rsid w:val="006A484A"/>
    <w:rsid w:val="006A53B9"/>
    <w:rsid w:val="006A56FD"/>
    <w:rsid w:val="006A63F7"/>
    <w:rsid w:val="006A6824"/>
    <w:rsid w:val="006A6F75"/>
    <w:rsid w:val="006B00A1"/>
    <w:rsid w:val="006B040E"/>
    <w:rsid w:val="006B06DB"/>
    <w:rsid w:val="006B13CC"/>
    <w:rsid w:val="006B2274"/>
    <w:rsid w:val="006B62F2"/>
    <w:rsid w:val="006B6D3A"/>
    <w:rsid w:val="006C7066"/>
    <w:rsid w:val="006D0BDC"/>
    <w:rsid w:val="006D1572"/>
    <w:rsid w:val="006D38CD"/>
    <w:rsid w:val="006D413E"/>
    <w:rsid w:val="006D4B3C"/>
    <w:rsid w:val="006E2336"/>
    <w:rsid w:val="006E2CC1"/>
    <w:rsid w:val="006E35EC"/>
    <w:rsid w:val="006E39E3"/>
    <w:rsid w:val="006E3DFD"/>
    <w:rsid w:val="006E6852"/>
    <w:rsid w:val="006E70D9"/>
    <w:rsid w:val="006E7C95"/>
    <w:rsid w:val="006F045A"/>
    <w:rsid w:val="006F1BFA"/>
    <w:rsid w:val="006F2373"/>
    <w:rsid w:val="00700EEF"/>
    <w:rsid w:val="00701228"/>
    <w:rsid w:val="00704666"/>
    <w:rsid w:val="007057D3"/>
    <w:rsid w:val="00706ACC"/>
    <w:rsid w:val="00710AB1"/>
    <w:rsid w:val="007112BE"/>
    <w:rsid w:val="0071428F"/>
    <w:rsid w:val="00715655"/>
    <w:rsid w:val="00717BC5"/>
    <w:rsid w:val="00720240"/>
    <w:rsid w:val="007207FF"/>
    <w:rsid w:val="00720ADB"/>
    <w:rsid w:val="00723588"/>
    <w:rsid w:val="0072390F"/>
    <w:rsid w:val="007250D3"/>
    <w:rsid w:val="00726562"/>
    <w:rsid w:val="00732865"/>
    <w:rsid w:val="007334B2"/>
    <w:rsid w:val="007334C8"/>
    <w:rsid w:val="00733560"/>
    <w:rsid w:val="00734266"/>
    <w:rsid w:val="00734D8F"/>
    <w:rsid w:val="00736994"/>
    <w:rsid w:val="00737D16"/>
    <w:rsid w:val="007410C5"/>
    <w:rsid w:val="0074162F"/>
    <w:rsid w:val="00741FEC"/>
    <w:rsid w:val="00742F78"/>
    <w:rsid w:val="00744E89"/>
    <w:rsid w:val="00745FB5"/>
    <w:rsid w:val="00747117"/>
    <w:rsid w:val="00750AE3"/>
    <w:rsid w:val="00752275"/>
    <w:rsid w:val="007522F0"/>
    <w:rsid w:val="00752FEF"/>
    <w:rsid w:val="00754145"/>
    <w:rsid w:val="007577B9"/>
    <w:rsid w:val="00757F53"/>
    <w:rsid w:val="007626E6"/>
    <w:rsid w:val="0076509D"/>
    <w:rsid w:val="007658FD"/>
    <w:rsid w:val="007662FB"/>
    <w:rsid w:val="00766DD4"/>
    <w:rsid w:val="007712B0"/>
    <w:rsid w:val="007719B7"/>
    <w:rsid w:val="00773634"/>
    <w:rsid w:val="00773F60"/>
    <w:rsid w:val="007760E2"/>
    <w:rsid w:val="0077617C"/>
    <w:rsid w:val="00780332"/>
    <w:rsid w:val="00781752"/>
    <w:rsid w:val="00781AC9"/>
    <w:rsid w:val="007831AD"/>
    <w:rsid w:val="00783589"/>
    <w:rsid w:val="00787E07"/>
    <w:rsid w:val="00794E22"/>
    <w:rsid w:val="00796651"/>
    <w:rsid w:val="00797219"/>
    <w:rsid w:val="007A0371"/>
    <w:rsid w:val="007A1846"/>
    <w:rsid w:val="007A29EC"/>
    <w:rsid w:val="007B0DFC"/>
    <w:rsid w:val="007B282F"/>
    <w:rsid w:val="007B7A42"/>
    <w:rsid w:val="007C0887"/>
    <w:rsid w:val="007C0AC9"/>
    <w:rsid w:val="007C4282"/>
    <w:rsid w:val="007C43B0"/>
    <w:rsid w:val="007D02EF"/>
    <w:rsid w:val="007D0DEF"/>
    <w:rsid w:val="007D10E7"/>
    <w:rsid w:val="007D3A77"/>
    <w:rsid w:val="007D4038"/>
    <w:rsid w:val="007D43E4"/>
    <w:rsid w:val="007D46D9"/>
    <w:rsid w:val="007D52C0"/>
    <w:rsid w:val="007E0FAA"/>
    <w:rsid w:val="007E1B48"/>
    <w:rsid w:val="007E2A04"/>
    <w:rsid w:val="007E5A0D"/>
    <w:rsid w:val="007E7487"/>
    <w:rsid w:val="007F11A7"/>
    <w:rsid w:val="007F3ECF"/>
    <w:rsid w:val="007F5855"/>
    <w:rsid w:val="007F6C8A"/>
    <w:rsid w:val="008018EB"/>
    <w:rsid w:val="00802646"/>
    <w:rsid w:val="00805529"/>
    <w:rsid w:val="0080674A"/>
    <w:rsid w:val="008071D5"/>
    <w:rsid w:val="00810726"/>
    <w:rsid w:val="008150AC"/>
    <w:rsid w:val="0081743A"/>
    <w:rsid w:val="00821927"/>
    <w:rsid w:val="00822406"/>
    <w:rsid w:val="0082299A"/>
    <w:rsid w:val="00822C14"/>
    <w:rsid w:val="00824785"/>
    <w:rsid w:val="008263F2"/>
    <w:rsid w:val="00830AF1"/>
    <w:rsid w:val="008312C3"/>
    <w:rsid w:val="0083172F"/>
    <w:rsid w:val="00832559"/>
    <w:rsid w:val="00832E94"/>
    <w:rsid w:val="008370E0"/>
    <w:rsid w:val="0084026C"/>
    <w:rsid w:val="008414DE"/>
    <w:rsid w:val="008417A1"/>
    <w:rsid w:val="008419FD"/>
    <w:rsid w:val="00841F6A"/>
    <w:rsid w:val="00844606"/>
    <w:rsid w:val="008479A4"/>
    <w:rsid w:val="00847A56"/>
    <w:rsid w:val="00850BA0"/>
    <w:rsid w:val="008513F4"/>
    <w:rsid w:val="00854F81"/>
    <w:rsid w:val="008552EC"/>
    <w:rsid w:val="0085682C"/>
    <w:rsid w:val="00857A55"/>
    <w:rsid w:val="0086015C"/>
    <w:rsid w:val="008611AC"/>
    <w:rsid w:val="00865AD0"/>
    <w:rsid w:val="00867E41"/>
    <w:rsid w:val="00873589"/>
    <w:rsid w:val="008739FD"/>
    <w:rsid w:val="00873FF2"/>
    <w:rsid w:val="00876E91"/>
    <w:rsid w:val="008811AE"/>
    <w:rsid w:val="00884CC1"/>
    <w:rsid w:val="008859D2"/>
    <w:rsid w:val="00885EE0"/>
    <w:rsid w:val="0088659A"/>
    <w:rsid w:val="008865E0"/>
    <w:rsid w:val="00886AB7"/>
    <w:rsid w:val="00887B84"/>
    <w:rsid w:val="00892246"/>
    <w:rsid w:val="00892A6E"/>
    <w:rsid w:val="008A004A"/>
    <w:rsid w:val="008A16DC"/>
    <w:rsid w:val="008A49F8"/>
    <w:rsid w:val="008A7864"/>
    <w:rsid w:val="008B0BDE"/>
    <w:rsid w:val="008B17A7"/>
    <w:rsid w:val="008B17FB"/>
    <w:rsid w:val="008B1AFD"/>
    <w:rsid w:val="008B2230"/>
    <w:rsid w:val="008B2F7F"/>
    <w:rsid w:val="008B3C75"/>
    <w:rsid w:val="008B4372"/>
    <w:rsid w:val="008B5F1F"/>
    <w:rsid w:val="008B7387"/>
    <w:rsid w:val="008B7C86"/>
    <w:rsid w:val="008C02D3"/>
    <w:rsid w:val="008C0CFB"/>
    <w:rsid w:val="008C1082"/>
    <w:rsid w:val="008C1E19"/>
    <w:rsid w:val="008C3312"/>
    <w:rsid w:val="008C42B4"/>
    <w:rsid w:val="008C74CF"/>
    <w:rsid w:val="008D3EE8"/>
    <w:rsid w:val="008D4789"/>
    <w:rsid w:val="008D5025"/>
    <w:rsid w:val="008D5FD0"/>
    <w:rsid w:val="008D7CC1"/>
    <w:rsid w:val="008E4889"/>
    <w:rsid w:val="008E4AAA"/>
    <w:rsid w:val="008E5216"/>
    <w:rsid w:val="008E7C43"/>
    <w:rsid w:val="008F1A5E"/>
    <w:rsid w:val="008F1DB4"/>
    <w:rsid w:val="008F3931"/>
    <w:rsid w:val="008F4C57"/>
    <w:rsid w:val="008F6651"/>
    <w:rsid w:val="008F7B36"/>
    <w:rsid w:val="0090047B"/>
    <w:rsid w:val="009034BB"/>
    <w:rsid w:val="009109BC"/>
    <w:rsid w:val="00910B43"/>
    <w:rsid w:val="0091113E"/>
    <w:rsid w:val="009137D2"/>
    <w:rsid w:val="00916C67"/>
    <w:rsid w:val="00917213"/>
    <w:rsid w:val="009173E9"/>
    <w:rsid w:val="0092121D"/>
    <w:rsid w:val="00921DB5"/>
    <w:rsid w:val="009230A8"/>
    <w:rsid w:val="009251DC"/>
    <w:rsid w:val="0093303C"/>
    <w:rsid w:val="00933228"/>
    <w:rsid w:val="00941782"/>
    <w:rsid w:val="00942104"/>
    <w:rsid w:val="0094334C"/>
    <w:rsid w:val="0094636F"/>
    <w:rsid w:val="00946A75"/>
    <w:rsid w:val="00960298"/>
    <w:rsid w:val="009617EB"/>
    <w:rsid w:val="00963690"/>
    <w:rsid w:val="00964785"/>
    <w:rsid w:val="00965737"/>
    <w:rsid w:val="00970A3E"/>
    <w:rsid w:val="00970F53"/>
    <w:rsid w:val="00974A56"/>
    <w:rsid w:val="00980E44"/>
    <w:rsid w:val="009811A0"/>
    <w:rsid w:val="00981856"/>
    <w:rsid w:val="009929D4"/>
    <w:rsid w:val="00993EBF"/>
    <w:rsid w:val="00996312"/>
    <w:rsid w:val="009979A7"/>
    <w:rsid w:val="00997DB8"/>
    <w:rsid w:val="009A180C"/>
    <w:rsid w:val="009A1EFD"/>
    <w:rsid w:val="009A2813"/>
    <w:rsid w:val="009A38FD"/>
    <w:rsid w:val="009A5065"/>
    <w:rsid w:val="009A6108"/>
    <w:rsid w:val="009A71AA"/>
    <w:rsid w:val="009B064C"/>
    <w:rsid w:val="009B094A"/>
    <w:rsid w:val="009B1CB9"/>
    <w:rsid w:val="009B3BCE"/>
    <w:rsid w:val="009C038F"/>
    <w:rsid w:val="009C4873"/>
    <w:rsid w:val="009C4EAF"/>
    <w:rsid w:val="009C56BB"/>
    <w:rsid w:val="009C6E9C"/>
    <w:rsid w:val="009D186B"/>
    <w:rsid w:val="009D2A84"/>
    <w:rsid w:val="009D3CDD"/>
    <w:rsid w:val="009D7644"/>
    <w:rsid w:val="009E05B9"/>
    <w:rsid w:val="009E141E"/>
    <w:rsid w:val="009E1F3E"/>
    <w:rsid w:val="009E2FB9"/>
    <w:rsid w:val="009E4BC1"/>
    <w:rsid w:val="009F1AA5"/>
    <w:rsid w:val="009F3514"/>
    <w:rsid w:val="009F3A00"/>
    <w:rsid w:val="009F65C0"/>
    <w:rsid w:val="009F7619"/>
    <w:rsid w:val="00A02E12"/>
    <w:rsid w:val="00A03F83"/>
    <w:rsid w:val="00A04F8C"/>
    <w:rsid w:val="00A05F5E"/>
    <w:rsid w:val="00A071E6"/>
    <w:rsid w:val="00A0753F"/>
    <w:rsid w:val="00A078E1"/>
    <w:rsid w:val="00A10FFD"/>
    <w:rsid w:val="00A11347"/>
    <w:rsid w:val="00A119F7"/>
    <w:rsid w:val="00A131B4"/>
    <w:rsid w:val="00A223D4"/>
    <w:rsid w:val="00A23D7A"/>
    <w:rsid w:val="00A25F43"/>
    <w:rsid w:val="00A31073"/>
    <w:rsid w:val="00A3223D"/>
    <w:rsid w:val="00A3227B"/>
    <w:rsid w:val="00A32408"/>
    <w:rsid w:val="00A376A2"/>
    <w:rsid w:val="00A40E1E"/>
    <w:rsid w:val="00A41796"/>
    <w:rsid w:val="00A43FDE"/>
    <w:rsid w:val="00A46476"/>
    <w:rsid w:val="00A46535"/>
    <w:rsid w:val="00A46C9F"/>
    <w:rsid w:val="00A503CB"/>
    <w:rsid w:val="00A50FA2"/>
    <w:rsid w:val="00A53E00"/>
    <w:rsid w:val="00A545BB"/>
    <w:rsid w:val="00A54DF3"/>
    <w:rsid w:val="00A5521F"/>
    <w:rsid w:val="00A558C3"/>
    <w:rsid w:val="00A55AAA"/>
    <w:rsid w:val="00A56BCF"/>
    <w:rsid w:val="00A56CB8"/>
    <w:rsid w:val="00A601D3"/>
    <w:rsid w:val="00A611E9"/>
    <w:rsid w:val="00A63C00"/>
    <w:rsid w:val="00A63C5F"/>
    <w:rsid w:val="00A6481D"/>
    <w:rsid w:val="00A71AF4"/>
    <w:rsid w:val="00A72AC5"/>
    <w:rsid w:val="00A72B5C"/>
    <w:rsid w:val="00A76791"/>
    <w:rsid w:val="00A76A89"/>
    <w:rsid w:val="00A76E39"/>
    <w:rsid w:val="00A770BB"/>
    <w:rsid w:val="00A7768C"/>
    <w:rsid w:val="00A77BFF"/>
    <w:rsid w:val="00A835A7"/>
    <w:rsid w:val="00A85038"/>
    <w:rsid w:val="00A866D7"/>
    <w:rsid w:val="00A9001C"/>
    <w:rsid w:val="00A914D8"/>
    <w:rsid w:val="00A9402E"/>
    <w:rsid w:val="00A94F40"/>
    <w:rsid w:val="00A95B92"/>
    <w:rsid w:val="00AA034B"/>
    <w:rsid w:val="00AA1396"/>
    <w:rsid w:val="00AA6C66"/>
    <w:rsid w:val="00AA79D8"/>
    <w:rsid w:val="00AB1441"/>
    <w:rsid w:val="00AB1658"/>
    <w:rsid w:val="00AB241F"/>
    <w:rsid w:val="00AB2E3D"/>
    <w:rsid w:val="00AB3C57"/>
    <w:rsid w:val="00AB7568"/>
    <w:rsid w:val="00AC0036"/>
    <w:rsid w:val="00AC06C1"/>
    <w:rsid w:val="00AC28BF"/>
    <w:rsid w:val="00AD3069"/>
    <w:rsid w:val="00AD3C30"/>
    <w:rsid w:val="00AD40C4"/>
    <w:rsid w:val="00AD4D69"/>
    <w:rsid w:val="00AD5467"/>
    <w:rsid w:val="00AD7843"/>
    <w:rsid w:val="00AE03E0"/>
    <w:rsid w:val="00AE0C6E"/>
    <w:rsid w:val="00AE14FC"/>
    <w:rsid w:val="00AE418D"/>
    <w:rsid w:val="00AE48AA"/>
    <w:rsid w:val="00AE7D40"/>
    <w:rsid w:val="00AF15ED"/>
    <w:rsid w:val="00AF45B0"/>
    <w:rsid w:val="00AF7D16"/>
    <w:rsid w:val="00B00660"/>
    <w:rsid w:val="00B0104D"/>
    <w:rsid w:val="00B0502B"/>
    <w:rsid w:val="00B0577F"/>
    <w:rsid w:val="00B068A2"/>
    <w:rsid w:val="00B06F13"/>
    <w:rsid w:val="00B1083F"/>
    <w:rsid w:val="00B11D12"/>
    <w:rsid w:val="00B12DB3"/>
    <w:rsid w:val="00B13218"/>
    <w:rsid w:val="00B14B69"/>
    <w:rsid w:val="00B217B4"/>
    <w:rsid w:val="00B27F33"/>
    <w:rsid w:val="00B30FDB"/>
    <w:rsid w:val="00B33D44"/>
    <w:rsid w:val="00B33E91"/>
    <w:rsid w:val="00B3513C"/>
    <w:rsid w:val="00B351E2"/>
    <w:rsid w:val="00B37C98"/>
    <w:rsid w:val="00B41D1C"/>
    <w:rsid w:val="00B422D3"/>
    <w:rsid w:val="00B43629"/>
    <w:rsid w:val="00B439B0"/>
    <w:rsid w:val="00B45CED"/>
    <w:rsid w:val="00B46230"/>
    <w:rsid w:val="00B465AB"/>
    <w:rsid w:val="00B5164E"/>
    <w:rsid w:val="00B521FB"/>
    <w:rsid w:val="00B52A06"/>
    <w:rsid w:val="00B52F3E"/>
    <w:rsid w:val="00B572CA"/>
    <w:rsid w:val="00B61FC0"/>
    <w:rsid w:val="00B62A21"/>
    <w:rsid w:val="00B64FBF"/>
    <w:rsid w:val="00B65F65"/>
    <w:rsid w:val="00B66489"/>
    <w:rsid w:val="00B73ACE"/>
    <w:rsid w:val="00B74EA2"/>
    <w:rsid w:val="00B7705C"/>
    <w:rsid w:val="00B80495"/>
    <w:rsid w:val="00B82023"/>
    <w:rsid w:val="00B82BB6"/>
    <w:rsid w:val="00B830A5"/>
    <w:rsid w:val="00B8768F"/>
    <w:rsid w:val="00B92997"/>
    <w:rsid w:val="00B93562"/>
    <w:rsid w:val="00B946F3"/>
    <w:rsid w:val="00B961E8"/>
    <w:rsid w:val="00B97CFB"/>
    <w:rsid w:val="00BA012D"/>
    <w:rsid w:val="00BA0BF9"/>
    <w:rsid w:val="00BA5F8A"/>
    <w:rsid w:val="00BA6178"/>
    <w:rsid w:val="00BA707B"/>
    <w:rsid w:val="00BB0447"/>
    <w:rsid w:val="00BB0BDD"/>
    <w:rsid w:val="00BB0FAF"/>
    <w:rsid w:val="00BB4988"/>
    <w:rsid w:val="00BB6D13"/>
    <w:rsid w:val="00BB7CEE"/>
    <w:rsid w:val="00BC052F"/>
    <w:rsid w:val="00BC3A0C"/>
    <w:rsid w:val="00BC43C0"/>
    <w:rsid w:val="00BC7329"/>
    <w:rsid w:val="00BD4436"/>
    <w:rsid w:val="00BD4C1E"/>
    <w:rsid w:val="00BD5A96"/>
    <w:rsid w:val="00BD63CA"/>
    <w:rsid w:val="00BD7715"/>
    <w:rsid w:val="00BE0EAC"/>
    <w:rsid w:val="00BE40E1"/>
    <w:rsid w:val="00BE62A0"/>
    <w:rsid w:val="00BE6757"/>
    <w:rsid w:val="00BE7CEC"/>
    <w:rsid w:val="00BF0EE6"/>
    <w:rsid w:val="00BF1CE3"/>
    <w:rsid w:val="00BF4D5C"/>
    <w:rsid w:val="00BF54B7"/>
    <w:rsid w:val="00C0105B"/>
    <w:rsid w:val="00C04C17"/>
    <w:rsid w:val="00C059C7"/>
    <w:rsid w:val="00C05C53"/>
    <w:rsid w:val="00C05E7E"/>
    <w:rsid w:val="00C120C7"/>
    <w:rsid w:val="00C12D57"/>
    <w:rsid w:val="00C13A6C"/>
    <w:rsid w:val="00C14E3B"/>
    <w:rsid w:val="00C174A3"/>
    <w:rsid w:val="00C200A6"/>
    <w:rsid w:val="00C20DA0"/>
    <w:rsid w:val="00C2149C"/>
    <w:rsid w:val="00C2366C"/>
    <w:rsid w:val="00C238D6"/>
    <w:rsid w:val="00C2416C"/>
    <w:rsid w:val="00C24427"/>
    <w:rsid w:val="00C251F3"/>
    <w:rsid w:val="00C25A61"/>
    <w:rsid w:val="00C3075C"/>
    <w:rsid w:val="00C31017"/>
    <w:rsid w:val="00C32C66"/>
    <w:rsid w:val="00C3339F"/>
    <w:rsid w:val="00C33E96"/>
    <w:rsid w:val="00C347A4"/>
    <w:rsid w:val="00C34D9C"/>
    <w:rsid w:val="00C35BE8"/>
    <w:rsid w:val="00C37CAF"/>
    <w:rsid w:val="00C430BF"/>
    <w:rsid w:val="00C5078C"/>
    <w:rsid w:val="00C50F9D"/>
    <w:rsid w:val="00C54200"/>
    <w:rsid w:val="00C564B9"/>
    <w:rsid w:val="00C62445"/>
    <w:rsid w:val="00C67050"/>
    <w:rsid w:val="00C67630"/>
    <w:rsid w:val="00C70138"/>
    <w:rsid w:val="00C72279"/>
    <w:rsid w:val="00C72C22"/>
    <w:rsid w:val="00C73B9B"/>
    <w:rsid w:val="00C73DA2"/>
    <w:rsid w:val="00C761A6"/>
    <w:rsid w:val="00C7650C"/>
    <w:rsid w:val="00C77A2E"/>
    <w:rsid w:val="00C805F2"/>
    <w:rsid w:val="00C80E9D"/>
    <w:rsid w:val="00C83DFC"/>
    <w:rsid w:val="00C8687D"/>
    <w:rsid w:val="00C8719E"/>
    <w:rsid w:val="00C9032D"/>
    <w:rsid w:val="00C904D4"/>
    <w:rsid w:val="00C93408"/>
    <w:rsid w:val="00C94FA3"/>
    <w:rsid w:val="00C9623A"/>
    <w:rsid w:val="00CA64BF"/>
    <w:rsid w:val="00CB172E"/>
    <w:rsid w:val="00CB2C87"/>
    <w:rsid w:val="00CB3EBE"/>
    <w:rsid w:val="00CB43F5"/>
    <w:rsid w:val="00CB47B0"/>
    <w:rsid w:val="00CB52A7"/>
    <w:rsid w:val="00CB59AE"/>
    <w:rsid w:val="00CB5ECE"/>
    <w:rsid w:val="00CB6A6E"/>
    <w:rsid w:val="00CC2DFC"/>
    <w:rsid w:val="00CC3AD5"/>
    <w:rsid w:val="00CC7923"/>
    <w:rsid w:val="00CD12CE"/>
    <w:rsid w:val="00CD2376"/>
    <w:rsid w:val="00CD2E4E"/>
    <w:rsid w:val="00CD2E6C"/>
    <w:rsid w:val="00CD3900"/>
    <w:rsid w:val="00CD41F3"/>
    <w:rsid w:val="00CD4428"/>
    <w:rsid w:val="00CD631F"/>
    <w:rsid w:val="00CE0041"/>
    <w:rsid w:val="00CE3760"/>
    <w:rsid w:val="00CE6E7B"/>
    <w:rsid w:val="00CF07DD"/>
    <w:rsid w:val="00CF0A1D"/>
    <w:rsid w:val="00CF170E"/>
    <w:rsid w:val="00CF3297"/>
    <w:rsid w:val="00CF3733"/>
    <w:rsid w:val="00CF5EB2"/>
    <w:rsid w:val="00D01EC6"/>
    <w:rsid w:val="00D025A4"/>
    <w:rsid w:val="00D02E98"/>
    <w:rsid w:val="00D07E46"/>
    <w:rsid w:val="00D11CE2"/>
    <w:rsid w:val="00D122DF"/>
    <w:rsid w:val="00D1270C"/>
    <w:rsid w:val="00D129CC"/>
    <w:rsid w:val="00D13208"/>
    <w:rsid w:val="00D1651C"/>
    <w:rsid w:val="00D17836"/>
    <w:rsid w:val="00D21910"/>
    <w:rsid w:val="00D258F6"/>
    <w:rsid w:val="00D2654A"/>
    <w:rsid w:val="00D31517"/>
    <w:rsid w:val="00D31DEB"/>
    <w:rsid w:val="00D33195"/>
    <w:rsid w:val="00D33395"/>
    <w:rsid w:val="00D3426A"/>
    <w:rsid w:val="00D36019"/>
    <w:rsid w:val="00D362E1"/>
    <w:rsid w:val="00D37386"/>
    <w:rsid w:val="00D41489"/>
    <w:rsid w:val="00D44A37"/>
    <w:rsid w:val="00D44C75"/>
    <w:rsid w:val="00D45D5E"/>
    <w:rsid w:val="00D460B8"/>
    <w:rsid w:val="00D46F10"/>
    <w:rsid w:val="00D50E2F"/>
    <w:rsid w:val="00D52456"/>
    <w:rsid w:val="00D53908"/>
    <w:rsid w:val="00D56153"/>
    <w:rsid w:val="00D6154F"/>
    <w:rsid w:val="00D61765"/>
    <w:rsid w:val="00D62A7A"/>
    <w:rsid w:val="00D65974"/>
    <w:rsid w:val="00D72288"/>
    <w:rsid w:val="00D73118"/>
    <w:rsid w:val="00D73ECB"/>
    <w:rsid w:val="00D7598E"/>
    <w:rsid w:val="00D810F8"/>
    <w:rsid w:val="00D818B9"/>
    <w:rsid w:val="00D81D56"/>
    <w:rsid w:val="00D85BD7"/>
    <w:rsid w:val="00D85EA8"/>
    <w:rsid w:val="00D869AE"/>
    <w:rsid w:val="00D87C8B"/>
    <w:rsid w:val="00D94CD8"/>
    <w:rsid w:val="00D97990"/>
    <w:rsid w:val="00DA0633"/>
    <w:rsid w:val="00DA0ABC"/>
    <w:rsid w:val="00DA28EE"/>
    <w:rsid w:val="00DA31E9"/>
    <w:rsid w:val="00DA434B"/>
    <w:rsid w:val="00DA5A75"/>
    <w:rsid w:val="00DB209F"/>
    <w:rsid w:val="00DB3143"/>
    <w:rsid w:val="00DB41D1"/>
    <w:rsid w:val="00DB5AB3"/>
    <w:rsid w:val="00DB6DE5"/>
    <w:rsid w:val="00DB773D"/>
    <w:rsid w:val="00DB7EA6"/>
    <w:rsid w:val="00DC2BE0"/>
    <w:rsid w:val="00DD2C19"/>
    <w:rsid w:val="00DD7F77"/>
    <w:rsid w:val="00DE0F91"/>
    <w:rsid w:val="00DE0FEC"/>
    <w:rsid w:val="00DE4316"/>
    <w:rsid w:val="00DE515A"/>
    <w:rsid w:val="00DE59C5"/>
    <w:rsid w:val="00DF129F"/>
    <w:rsid w:val="00DF1B5E"/>
    <w:rsid w:val="00DF272D"/>
    <w:rsid w:val="00DF5E51"/>
    <w:rsid w:val="00E00A92"/>
    <w:rsid w:val="00E00BCE"/>
    <w:rsid w:val="00E0245C"/>
    <w:rsid w:val="00E0270B"/>
    <w:rsid w:val="00E02A54"/>
    <w:rsid w:val="00E050DB"/>
    <w:rsid w:val="00E05936"/>
    <w:rsid w:val="00E062B8"/>
    <w:rsid w:val="00E10A1A"/>
    <w:rsid w:val="00E10C61"/>
    <w:rsid w:val="00E14382"/>
    <w:rsid w:val="00E14EF1"/>
    <w:rsid w:val="00E21A8F"/>
    <w:rsid w:val="00E21DBF"/>
    <w:rsid w:val="00E229A4"/>
    <w:rsid w:val="00E232BC"/>
    <w:rsid w:val="00E26BE6"/>
    <w:rsid w:val="00E2706C"/>
    <w:rsid w:val="00E3101F"/>
    <w:rsid w:val="00E32171"/>
    <w:rsid w:val="00E33FC7"/>
    <w:rsid w:val="00E34EE4"/>
    <w:rsid w:val="00E37CB8"/>
    <w:rsid w:val="00E42073"/>
    <w:rsid w:val="00E42E89"/>
    <w:rsid w:val="00E42EA9"/>
    <w:rsid w:val="00E43076"/>
    <w:rsid w:val="00E466BB"/>
    <w:rsid w:val="00E47B1F"/>
    <w:rsid w:val="00E5030B"/>
    <w:rsid w:val="00E506A6"/>
    <w:rsid w:val="00E51060"/>
    <w:rsid w:val="00E521BE"/>
    <w:rsid w:val="00E53327"/>
    <w:rsid w:val="00E535DA"/>
    <w:rsid w:val="00E54A28"/>
    <w:rsid w:val="00E57B62"/>
    <w:rsid w:val="00E57FA4"/>
    <w:rsid w:val="00E6126B"/>
    <w:rsid w:val="00E6187F"/>
    <w:rsid w:val="00E618C8"/>
    <w:rsid w:val="00E6253A"/>
    <w:rsid w:val="00E6392A"/>
    <w:rsid w:val="00E6399D"/>
    <w:rsid w:val="00E63F2F"/>
    <w:rsid w:val="00E65058"/>
    <w:rsid w:val="00E6573C"/>
    <w:rsid w:val="00E66489"/>
    <w:rsid w:val="00E670E9"/>
    <w:rsid w:val="00E6745D"/>
    <w:rsid w:val="00E702C1"/>
    <w:rsid w:val="00E725AF"/>
    <w:rsid w:val="00E72A1F"/>
    <w:rsid w:val="00E731A7"/>
    <w:rsid w:val="00E73797"/>
    <w:rsid w:val="00E73F78"/>
    <w:rsid w:val="00E7571B"/>
    <w:rsid w:val="00E75BAC"/>
    <w:rsid w:val="00E75C5C"/>
    <w:rsid w:val="00E75D67"/>
    <w:rsid w:val="00E815F7"/>
    <w:rsid w:val="00E8410C"/>
    <w:rsid w:val="00E847EA"/>
    <w:rsid w:val="00E849C5"/>
    <w:rsid w:val="00E85D4E"/>
    <w:rsid w:val="00E862F4"/>
    <w:rsid w:val="00E8708C"/>
    <w:rsid w:val="00E87FC3"/>
    <w:rsid w:val="00E91EC3"/>
    <w:rsid w:val="00E920E6"/>
    <w:rsid w:val="00E93210"/>
    <w:rsid w:val="00E94BEB"/>
    <w:rsid w:val="00E95021"/>
    <w:rsid w:val="00E95198"/>
    <w:rsid w:val="00E967CB"/>
    <w:rsid w:val="00E97215"/>
    <w:rsid w:val="00EA3D09"/>
    <w:rsid w:val="00EA40C8"/>
    <w:rsid w:val="00EA65BF"/>
    <w:rsid w:val="00EB24F2"/>
    <w:rsid w:val="00EB3640"/>
    <w:rsid w:val="00EB650F"/>
    <w:rsid w:val="00EB77F7"/>
    <w:rsid w:val="00EB7A10"/>
    <w:rsid w:val="00EC121C"/>
    <w:rsid w:val="00EC1E2B"/>
    <w:rsid w:val="00EC2DC4"/>
    <w:rsid w:val="00EC3A3D"/>
    <w:rsid w:val="00EC3BBD"/>
    <w:rsid w:val="00EC6FD7"/>
    <w:rsid w:val="00ED2F8E"/>
    <w:rsid w:val="00ED405A"/>
    <w:rsid w:val="00EE7958"/>
    <w:rsid w:val="00EF28C1"/>
    <w:rsid w:val="00EF2F4F"/>
    <w:rsid w:val="00EF2FF6"/>
    <w:rsid w:val="00EF4567"/>
    <w:rsid w:val="00EF50A4"/>
    <w:rsid w:val="00EF5C72"/>
    <w:rsid w:val="00EF6F93"/>
    <w:rsid w:val="00F032FD"/>
    <w:rsid w:val="00F03595"/>
    <w:rsid w:val="00F0483A"/>
    <w:rsid w:val="00F10287"/>
    <w:rsid w:val="00F1059E"/>
    <w:rsid w:val="00F11006"/>
    <w:rsid w:val="00F24EB4"/>
    <w:rsid w:val="00F304C4"/>
    <w:rsid w:val="00F31075"/>
    <w:rsid w:val="00F32091"/>
    <w:rsid w:val="00F3393A"/>
    <w:rsid w:val="00F351D3"/>
    <w:rsid w:val="00F35B70"/>
    <w:rsid w:val="00F40EB9"/>
    <w:rsid w:val="00F412B3"/>
    <w:rsid w:val="00F41743"/>
    <w:rsid w:val="00F42C69"/>
    <w:rsid w:val="00F4398C"/>
    <w:rsid w:val="00F44C6A"/>
    <w:rsid w:val="00F451CC"/>
    <w:rsid w:val="00F458E6"/>
    <w:rsid w:val="00F46966"/>
    <w:rsid w:val="00F51990"/>
    <w:rsid w:val="00F51EF9"/>
    <w:rsid w:val="00F527DA"/>
    <w:rsid w:val="00F539B7"/>
    <w:rsid w:val="00F54973"/>
    <w:rsid w:val="00F5595C"/>
    <w:rsid w:val="00F56E74"/>
    <w:rsid w:val="00F62419"/>
    <w:rsid w:val="00F650DD"/>
    <w:rsid w:val="00F6546F"/>
    <w:rsid w:val="00F672D1"/>
    <w:rsid w:val="00F7055E"/>
    <w:rsid w:val="00F70993"/>
    <w:rsid w:val="00F71D7E"/>
    <w:rsid w:val="00F71FB8"/>
    <w:rsid w:val="00F735F2"/>
    <w:rsid w:val="00F73B1E"/>
    <w:rsid w:val="00F74022"/>
    <w:rsid w:val="00F74E04"/>
    <w:rsid w:val="00F82445"/>
    <w:rsid w:val="00F824C5"/>
    <w:rsid w:val="00F840D2"/>
    <w:rsid w:val="00F84F68"/>
    <w:rsid w:val="00F85734"/>
    <w:rsid w:val="00F87B82"/>
    <w:rsid w:val="00F91686"/>
    <w:rsid w:val="00F9337C"/>
    <w:rsid w:val="00F93E30"/>
    <w:rsid w:val="00F9536F"/>
    <w:rsid w:val="00F9629C"/>
    <w:rsid w:val="00F965CE"/>
    <w:rsid w:val="00F96CB5"/>
    <w:rsid w:val="00FA1453"/>
    <w:rsid w:val="00FA2584"/>
    <w:rsid w:val="00FA2E4C"/>
    <w:rsid w:val="00FA37E1"/>
    <w:rsid w:val="00FA4306"/>
    <w:rsid w:val="00FA5D7F"/>
    <w:rsid w:val="00FC136F"/>
    <w:rsid w:val="00FC190D"/>
    <w:rsid w:val="00FC56BE"/>
    <w:rsid w:val="00FC7757"/>
    <w:rsid w:val="00FC7B0B"/>
    <w:rsid w:val="00FD0E69"/>
    <w:rsid w:val="00FD1D7B"/>
    <w:rsid w:val="00FD3A38"/>
    <w:rsid w:val="00FD3B5A"/>
    <w:rsid w:val="00FD4BA4"/>
    <w:rsid w:val="00FD70A6"/>
    <w:rsid w:val="00FD7A59"/>
    <w:rsid w:val="00FE1062"/>
    <w:rsid w:val="00FE11D1"/>
    <w:rsid w:val="00FE447E"/>
    <w:rsid w:val="00FE6AF8"/>
    <w:rsid w:val="00FE7456"/>
    <w:rsid w:val="00FE746E"/>
    <w:rsid w:val="00FF049B"/>
    <w:rsid w:val="00FF21B8"/>
    <w:rsid w:val="00FF2D2B"/>
    <w:rsid w:val="00FF5051"/>
    <w:rsid w:val="00FF5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F3"/>
    <w:pPr>
      <w:suppressAutoHyphens/>
      <w:spacing w:line="240" w:lineRule="atLeast"/>
    </w:pPr>
    <w:rPr>
      <w:rFonts w:eastAsia="SimSun"/>
      <w:lang w:eastAsia="zh-CN"/>
    </w:rPr>
  </w:style>
  <w:style w:type="paragraph" w:styleId="Heading1">
    <w:name w:val="heading 1"/>
    <w:aliases w:val="Table_G"/>
    <w:basedOn w:val="Normal"/>
    <w:next w:val="AnnoH23G"/>
    <w:qFormat/>
    <w:rsid w:val="00963690"/>
    <w:pPr>
      <w:ind w:left="1134"/>
      <w:outlineLvl w:val="0"/>
    </w:pPr>
  </w:style>
  <w:style w:type="paragraph" w:styleId="Heading2">
    <w:name w:val="heading 2"/>
    <w:basedOn w:val="Normal"/>
    <w:next w:val="Normal"/>
    <w:link w:val="Heading2Char"/>
    <w:qFormat/>
    <w:rsid w:val="00963690"/>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9636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69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636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636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63690"/>
    <w:pPr>
      <w:keepNext/>
      <w:keepLines/>
      <w:spacing w:before="360" w:after="240" w:line="270" w:lineRule="exact"/>
      <w:ind w:left="1134" w:right="1134" w:hanging="1134"/>
    </w:pPr>
    <w:rPr>
      <w:b/>
      <w:sz w:val="24"/>
    </w:rPr>
  </w:style>
  <w:style w:type="paragraph" w:customStyle="1" w:styleId="H23G">
    <w:name w:val="_ H_2/3_G"/>
    <w:basedOn w:val="Normal"/>
    <w:next w:val="Normal"/>
    <w:rsid w:val="009636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6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6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63690"/>
    <w:pPr>
      <w:spacing w:after="120"/>
      <w:ind w:left="1134" w:right="1134"/>
      <w:jc w:val="both"/>
    </w:pPr>
    <w:rPr>
      <w:rFonts w:eastAsia="Times New Roman"/>
      <w:lang w:eastAsia="en-US"/>
    </w:rPr>
  </w:style>
  <w:style w:type="paragraph" w:customStyle="1" w:styleId="SLG">
    <w:name w:val="__S_L_G"/>
    <w:basedOn w:val="Normal"/>
    <w:next w:val="Normal"/>
    <w:rsid w:val="00963690"/>
    <w:pPr>
      <w:keepNext/>
      <w:keepLines/>
      <w:spacing w:before="240" w:after="240" w:line="580" w:lineRule="exact"/>
      <w:ind w:left="1134" w:right="1134"/>
    </w:pPr>
    <w:rPr>
      <w:b/>
      <w:sz w:val="56"/>
    </w:rPr>
  </w:style>
  <w:style w:type="paragraph" w:customStyle="1" w:styleId="SMG">
    <w:name w:val="__S_M_G"/>
    <w:basedOn w:val="Normal"/>
    <w:next w:val="Normal"/>
    <w:rsid w:val="00963690"/>
    <w:pPr>
      <w:keepNext/>
      <w:keepLines/>
      <w:spacing w:before="240" w:after="240" w:line="420" w:lineRule="exact"/>
      <w:ind w:left="1134" w:right="1134"/>
    </w:pPr>
    <w:rPr>
      <w:b/>
      <w:sz w:val="40"/>
    </w:rPr>
  </w:style>
  <w:style w:type="paragraph" w:customStyle="1" w:styleId="SSG">
    <w:name w:val="__S_S_G"/>
    <w:basedOn w:val="Normal"/>
    <w:next w:val="Normal"/>
    <w:rsid w:val="00963690"/>
    <w:pPr>
      <w:keepNext/>
      <w:keepLines/>
      <w:spacing w:before="240" w:after="240" w:line="300" w:lineRule="exact"/>
      <w:ind w:left="1134" w:right="1134"/>
    </w:pPr>
    <w:rPr>
      <w:b/>
      <w:sz w:val="28"/>
    </w:rPr>
  </w:style>
  <w:style w:type="paragraph" w:customStyle="1" w:styleId="XLargeG">
    <w:name w:val="__XLarge_G"/>
    <w:basedOn w:val="Normal"/>
    <w:next w:val="Normal"/>
    <w:rsid w:val="00963690"/>
    <w:pPr>
      <w:keepNext/>
      <w:keepLines/>
      <w:spacing w:before="240" w:after="240" w:line="420" w:lineRule="exact"/>
      <w:ind w:left="1134" w:right="1134"/>
    </w:pPr>
    <w:rPr>
      <w:b/>
      <w:sz w:val="40"/>
    </w:rPr>
  </w:style>
  <w:style w:type="paragraph" w:customStyle="1" w:styleId="Bullet1G">
    <w:name w:val="_Bullet 1_G"/>
    <w:basedOn w:val="Normal"/>
    <w:rsid w:val="00963690"/>
    <w:pPr>
      <w:numPr>
        <w:numId w:val="1"/>
      </w:numPr>
      <w:spacing w:after="120"/>
      <w:ind w:right="1134"/>
      <w:jc w:val="both"/>
    </w:pPr>
  </w:style>
  <w:style w:type="paragraph" w:customStyle="1" w:styleId="Bullet2G">
    <w:name w:val="_Bullet 2_G"/>
    <w:basedOn w:val="Normal"/>
    <w:rsid w:val="00963690"/>
    <w:pPr>
      <w:numPr>
        <w:numId w:val="2"/>
      </w:numPr>
      <w:spacing w:after="120"/>
      <w:ind w:right="1134"/>
      <w:jc w:val="both"/>
    </w:pPr>
  </w:style>
  <w:style w:type="paragraph" w:customStyle="1" w:styleId="AnnoHCHG">
    <w:name w:val="Anno _ H_CH_G"/>
    <w:basedOn w:val="Normal"/>
    <w:next w:val="AnnoH1G"/>
    <w:rsid w:val="00963690"/>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963690"/>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CD41F3"/>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C12D57"/>
    <w:pPr>
      <w:numPr>
        <w:ilvl w:val="3"/>
        <w:numId w:val="3"/>
      </w:numPr>
      <w:spacing w:after="120"/>
      <w:ind w:left="1134" w:right="1134" w:firstLine="0"/>
      <w:jc w:val="both"/>
    </w:pPr>
  </w:style>
  <w:style w:type="character" w:styleId="FootnoteReference">
    <w:name w:val="footnote reference"/>
    <w:aliases w:val="4_G,16 Point,Superscript 6 Point,Ref,de nota al pie,number,Footnote text,Footnote reference number,Footnote symbol,note TESI,-E Fußnotenzeichen,SUPERS,stylish,ftref,Footnote Text1,Footnote Text Char2 Char"/>
    <w:rsid w:val="00963690"/>
    <w:rPr>
      <w:rFonts w:ascii="Times New Roman" w:hAnsi="Times New Roman"/>
      <w:sz w:val="18"/>
      <w:vertAlign w:val="superscript"/>
    </w:rPr>
  </w:style>
  <w:style w:type="character" w:styleId="EndnoteReference">
    <w:name w:val="endnote reference"/>
    <w:aliases w:val="1_G"/>
    <w:rsid w:val="00963690"/>
    <w:rPr>
      <w:rFonts w:ascii="Times New Roman" w:hAnsi="Times New Roman"/>
      <w:sz w:val="18"/>
      <w:vertAlign w:val="superscript"/>
    </w:rPr>
  </w:style>
  <w:style w:type="paragraph" w:styleId="EndnoteText">
    <w:name w:val="endnote text"/>
    <w:aliases w:val="2_G"/>
    <w:basedOn w:val="FootnoteText"/>
    <w:rsid w:val="00963690"/>
  </w:style>
  <w:style w:type="paragraph" w:styleId="FootnoteText">
    <w:name w:val="footnote text"/>
    <w:aliases w:val="5_G,Geneva 9,Font: Geneva 9,Boston 10,f,fn,footnote text,Footnotes,Footnote ak,Char,-E Fußnotentext,Fußnotentext Ursprung,-E Fußnotentext1,-E Fußnotentext2,-E Fußnotentext3,Char Char Char Char,Default Paragraph Font Char Char,Footno"/>
    <w:basedOn w:val="Normal"/>
    <w:link w:val="FootnoteTextChar"/>
    <w:rsid w:val="00963690"/>
    <w:pPr>
      <w:tabs>
        <w:tab w:val="right" w:pos="1021"/>
      </w:tabs>
      <w:spacing w:line="220" w:lineRule="exact"/>
      <w:ind w:left="1134" w:right="1134" w:hanging="1134"/>
    </w:pPr>
    <w:rPr>
      <w:sz w:val="18"/>
    </w:rPr>
  </w:style>
  <w:style w:type="paragraph" w:styleId="Footer">
    <w:name w:val="footer"/>
    <w:aliases w:val="3_G"/>
    <w:basedOn w:val="Normal"/>
    <w:rsid w:val="00963690"/>
    <w:rPr>
      <w:sz w:val="16"/>
    </w:rPr>
  </w:style>
  <w:style w:type="paragraph" w:customStyle="1" w:styleId="FootnoteTable">
    <w:name w:val="Footnote Table"/>
    <w:basedOn w:val="Normal"/>
    <w:rsid w:val="00963690"/>
    <w:pPr>
      <w:spacing w:line="220" w:lineRule="exact"/>
      <w:jc w:val="both"/>
    </w:pPr>
    <w:rPr>
      <w:sz w:val="18"/>
    </w:rPr>
  </w:style>
  <w:style w:type="paragraph" w:styleId="Header">
    <w:name w:val="header"/>
    <w:aliases w:val="6_G"/>
    <w:basedOn w:val="Normal"/>
    <w:rsid w:val="00963690"/>
    <w:pPr>
      <w:pBdr>
        <w:bottom w:val="single" w:sz="4" w:space="4" w:color="auto"/>
      </w:pBdr>
    </w:pPr>
    <w:rPr>
      <w:b/>
      <w:sz w:val="18"/>
    </w:rPr>
  </w:style>
  <w:style w:type="character" w:styleId="PageNumber">
    <w:name w:val="page number"/>
    <w:aliases w:val="7_G"/>
    <w:rsid w:val="00963690"/>
    <w:rPr>
      <w:rFonts w:ascii="Times New Roman" w:hAnsi="Times New Roman"/>
      <w:b/>
      <w:sz w:val="18"/>
    </w:rPr>
  </w:style>
  <w:style w:type="paragraph" w:customStyle="1" w:styleId="RegHChG">
    <w:name w:val="Reg_H__Ch_G"/>
    <w:basedOn w:val="Normal"/>
    <w:next w:val="RegH1G"/>
    <w:rsid w:val="00963690"/>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963690"/>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963690"/>
    <w:pPr>
      <w:keepNext/>
      <w:keepLines/>
      <w:numPr>
        <w:ilvl w:val="2"/>
        <w:numId w:val="4"/>
      </w:numPr>
      <w:spacing w:before="240" w:after="120" w:line="240" w:lineRule="exact"/>
      <w:ind w:right="1134"/>
    </w:pPr>
    <w:rPr>
      <w:b/>
    </w:rPr>
  </w:style>
  <w:style w:type="paragraph" w:customStyle="1" w:styleId="RegSingleTxtG">
    <w:name w:val="Reg_Single Txt_G"/>
    <w:basedOn w:val="Normal"/>
    <w:rsid w:val="00963690"/>
    <w:pPr>
      <w:numPr>
        <w:ilvl w:val="3"/>
        <w:numId w:val="4"/>
      </w:numPr>
      <w:tabs>
        <w:tab w:val="left" w:pos="1701"/>
      </w:tabs>
      <w:spacing w:after="120"/>
      <w:ind w:right="1134"/>
      <w:jc w:val="both"/>
    </w:pPr>
  </w:style>
  <w:style w:type="paragraph" w:styleId="TOC1">
    <w:name w:val="toc 1"/>
    <w:basedOn w:val="Normal"/>
    <w:next w:val="Normal"/>
    <w:autoRedefine/>
    <w:uiPriority w:val="39"/>
    <w:rsid w:val="00315709"/>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uiPriority w:val="39"/>
    <w:rsid w:val="00963690"/>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963690"/>
    <w:pPr>
      <w:spacing w:line="240" w:lineRule="auto"/>
    </w:pPr>
    <w:rPr>
      <w:rFonts w:ascii="Tahoma" w:hAnsi="Tahoma" w:cs="Tahoma"/>
      <w:sz w:val="16"/>
      <w:szCs w:val="16"/>
    </w:rPr>
  </w:style>
  <w:style w:type="character" w:customStyle="1" w:styleId="BalloonTextChar">
    <w:name w:val="Balloon Text Char"/>
    <w:link w:val="BalloonText"/>
    <w:rsid w:val="00963690"/>
    <w:rPr>
      <w:rFonts w:ascii="Tahoma" w:eastAsia="SimSun" w:hAnsi="Tahoma" w:cs="Tahoma"/>
      <w:sz w:val="16"/>
      <w:szCs w:val="16"/>
      <w:lang w:val="en-GB" w:eastAsia="zh-CN"/>
    </w:rPr>
  </w:style>
  <w:style w:type="paragraph" w:styleId="ListParagraph">
    <w:name w:val="List Paragraph"/>
    <w:basedOn w:val="Normal"/>
    <w:uiPriority w:val="34"/>
    <w:qFormat/>
    <w:rsid w:val="00963690"/>
    <w:pPr>
      <w:ind w:left="720"/>
      <w:contextualSpacing/>
    </w:pPr>
  </w:style>
  <w:style w:type="character" w:customStyle="1" w:styleId="Heading2Char">
    <w:name w:val="Heading 2 Char"/>
    <w:link w:val="Heading2"/>
    <w:semiHidden/>
    <w:rsid w:val="00963690"/>
    <w:rPr>
      <w:rFonts w:ascii="Cambria" w:eastAsia="Times New Roman" w:hAnsi="Cambria" w:cs="Times New Roman"/>
      <w:b/>
      <w:bCs/>
      <w:color w:val="4F81BD"/>
      <w:sz w:val="26"/>
      <w:szCs w:val="26"/>
      <w:lang w:val="en-GB" w:eastAsia="zh-CN"/>
    </w:rPr>
  </w:style>
  <w:style w:type="character" w:customStyle="1" w:styleId="Heading4Char">
    <w:name w:val="Heading 4 Char"/>
    <w:link w:val="Heading4"/>
    <w:semiHidden/>
    <w:rsid w:val="00963690"/>
    <w:rPr>
      <w:rFonts w:ascii="Cambria" w:eastAsia="Times New Roman" w:hAnsi="Cambria" w:cs="Times New Roman"/>
      <w:b/>
      <w:bCs/>
      <w:i/>
      <w:iCs/>
      <w:color w:val="4F81BD"/>
      <w:lang w:val="en-GB" w:eastAsia="zh-CN"/>
    </w:rPr>
  </w:style>
  <w:style w:type="character" w:customStyle="1" w:styleId="Heading5Char">
    <w:name w:val="Heading 5 Char"/>
    <w:link w:val="Heading5"/>
    <w:semiHidden/>
    <w:rsid w:val="00963690"/>
    <w:rPr>
      <w:rFonts w:ascii="Cambria" w:eastAsia="Times New Roman" w:hAnsi="Cambria" w:cs="Times New Roman"/>
      <w:color w:val="243F60"/>
      <w:lang w:val="en-GB" w:eastAsia="zh-CN"/>
    </w:rPr>
  </w:style>
  <w:style w:type="paragraph" w:customStyle="1" w:styleId="ListParagraphforAnnexes">
    <w:name w:val="List Paragraph for Annexes"/>
    <w:basedOn w:val="ListParagraph"/>
    <w:qFormat/>
    <w:rsid w:val="001007C9"/>
    <w:pPr>
      <w:spacing w:before="120" w:after="120" w:line="240" w:lineRule="exact"/>
      <w:contextualSpacing w:val="0"/>
    </w:pPr>
  </w:style>
  <w:style w:type="table" w:styleId="TableGrid">
    <w:name w:val="Table Grid"/>
    <w:basedOn w:val="TableNormal"/>
    <w:uiPriority w:val="59"/>
    <w:rsid w:val="00EC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Geneva 9 Char,Font: Geneva 9 Char,Boston 10 Char,f Char,fn Char,footnote text Char,Footnotes Char,Footnote ak Char,Char Char,-E Fußnotentext Char,Fußnotentext Ursprung Char,-E Fußnotentext1 Char,-E Fußnotentext2 Char"/>
    <w:link w:val="FootnoteText"/>
    <w:rsid w:val="00EC121C"/>
    <w:rPr>
      <w:rFonts w:eastAsia="SimSun"/>
      <w:sz w:val="18"/>
      <w:lang w:eastAsia="zh-CN"/>
    </w:rPr>
  </w:style>
  <w:style w:type="character" w:styleId="Hyperlink">
    <w:name w:val="Hyperlink"/>
    <w:basedOn w:val="DefaultParagraphFont"/>
    <w:rsid w:val="00FC136F"/>
    <w:rPr>
      <w:color w:val="0000FF" w:themeColor="hyperlink"/>
      <w:u w:val="single"/>
    </w:rPr>
  </w:style>
  <w:style w:type="paragraph" w:styleId="TOC4">
    <w:name w:val="toc 4"/>
    <w:basedOn w:val="Normal"/>
    <w:next w:val="Normal"/>
    <w:autoRedefine/>
    <w:rsid w:val="0015132D"/>
    <w:pPr>
      <w:spacing w:after="100"/>
      <w:ind w:left="600"/>
    </w:pPr>
  </w:style>
  <w:style w:type="paragraph" w:styleId="TOC5">
    <w:name w:val="toc 5"/>
    <w:basedOn w:val="Normal"/>
    <w:next w:val="Normal"/>
    <w:autoRedefine/>
    <w:rsid w:val="0015132D"/>
    <w:pPr>
      <w:spacing w:after="100"/>
      <w:ind w:left="800"/>
    </w:pPr>
  </w:style>
  <w:style w:type="paragraph" w:styleId="TOC6">
    <w:name w:val="toc 6"/>
    <w:basedOn w:val="Normal"/>
    <w:next w:val="Normal"/>
    <w:autoRedefine/>
    <w:rsid w:val="0015132D"/>
    <w:pPr>
      <w:spacing w:after="100"/>
      <w:ind w:left="1000"/>
    </w:pPr>
  </w:style>
  <w:style w:type="paragraph" w:styleId="TOC7">
    <w:name w:val="toc 7"/>
    <w:basedOn w:val="Normal"/>
    <w:next w:val="Normal"/>
    <w:autoRedefine/>
    <w:rsid w:val="0015132D"/>
    <w:pPr>
      <w:spacing w:after="100"/>
      <w:ind w:left="1200"/>
    </w:pPr>
  </w:style>
  <w:style w:type="paragraph" w:styleId="TOC8">
    <w:name w:val="toc 8"/>
    <w:basedOn w:val="Normal"/>
    <w:next w:val="Normal"/>
    <w:autoRedefine/>
    <w:rsid w:val="0015132D"/>
    <w:pPr>
      <w:spacing w:after="100"/>
      <w:ind w:left="1400"/>
    </w:pPr>
  </w:style>
  <w:style w:type="paragraph" w:styleId="TOC9">
    <w:name w:val="toc 9"/>
    <w:basedOn w:val="Normal"/>
    <w:next w:val="Normal"/>
    <w:autoRedefine/>
    <w:rsid w:val="0015132D"/>
    <w:pPr>
      <w:spacing w:after="100"/>
      <w:ind w:left="1600"/>
    </w:pPr>
  </w:style>
  <w:style w:type="character" w:styleId="CommentReference">
    <w:name w:val="annotation reference"/>
    <w:basedOn w:val="DefaultParagraphFont"/>
    <w:rsid w:val="008A004A"/>
    <w:rPr>
      <w:sz w:val="16"/>
      <w:szCs w:val="16"/>
    </w:rPr>
  </w:style>
  <w:style w:type="paragraph" w:styleId="CommentText">
    <w:name w:val="annotation text"/>
    <w:basedOn w:val="Normal"/>
    <w:link w:val="CommentTextChar"/>
    <w:rsid w:val="008A004A"/>
    <w:pPr>
      <w:spacing w:line="240" w:lineRule="auto"/>
    </w:pPr>
  </w:style>
  <w:style w:type="character" w:customStyle="1" w:styleId="CommentTextChar">
    <w:name w:val="Comment Text Char"/>
    <w:basedOn w:val="DefaultParagraphFont"/>
    <w:link w:val="CommentText"/>
    <w:rsid w:val="008A004A"/>
    <w:rPr>
      <w:rFonts w:eastAsia="SimSun"/>
      <w:lang w:eastAsia="zh-CN"/>
    </w:rPr>
  </w:style>
  <w:style w:type="paragraph" w:styleId="CommentSubject">
    <w:name w:val="annotation subject"/>
    <w:basedOn w:val="CommentText"/>
    <w:next w:val="CommentText"/>
    <w:link w:val="CommentSubjectChar"/>
    <w:rsid w:val="008A004A"/>
    <w:rPr>
      <w:b/>
      <w:bCs/>
    </w:rPr>
  </w:style>
  <w:style w:type="character" w:customStyle="1" w:styleId="CommentSubjectChar">
    <w:name w:val="Comment Subject Char"/>
    <w:basedOn w:val="CommentTextChar"/>
    <w:link w:val="CommentSubject"/>
    <w:rsid w:val="008A004A"/>
    <w:rPr>
      <w:rFonts w:eastAsia="SimSun"/>
      <w:b/>
      <w:bCs/>
      <w:lang w:eastAsia="zh-CN"/>
    </w:rPr>
  </w:style>
  <w:style w:type="paragraph" w:styleId="Revision">
    <w:name w:val="Revision"/>
    <w:hidden/>
    <w:uiPriority w:val="99"/>
    <w:semiHidden/>
    <w:rsid w:val="00F85734"/>
    <w:rPr>
      <w:rFonts w:eastAsia="SimSun"/>
      <w:lang w:eastAsia="zh-CN"/>
    </w:rPr>
  </w:style>
  <w:style w:type="paragraph" w:customStyle="1" w:styleId="Default">
    <w:name w:val="Default"/>
    <w:rsid w:val="007F3E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F3"/>
    <w:pPr>
      <w:suppressAutoHyphens/>
      <w:spacing w:line="240" w:lineRule="atLeast"/>
    </w:pPr>
    <w:rPr>
      <w:rFonts w:eastAsia="SimSun"/>
      <w:lang w:eastAsia="zh-CN"/>
    </w:rPr>
  </w:style>
  <w:style w:type="paragraph" w:styleId="Heading1">
    <w:name w:val="heading 1"/>
    <w:aliases w:val="Table_G"/>
    <w:basedOn w:val="Normal"/>
    <w:next w:val="AnnoH23G"/>
    <w:qFormat/>
    <w:rsid w:val="00963690"/>
    <w:pPr>
      <w:ind w:left="1134"/>
      <w:outlineLvl w:val="0"/>
    </w:pPr>
  </w:style>
  <w:style w:type="paragraph" w:styleId="Heading2">
    <w:name w:val="heading 2"/>
    <w:basedOn w:val="Normal"/>
    <w:next w:val="Normal"/>
    <w:link w:val="Heading2Char"/>
    <w:qFormat/>
    <w:rsid w:val="00963690"/>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9636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69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636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636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63690"/>
    <w:pPr>
      <w:keepNext/>
      <w:keepLines/>
      <w:spacing w:before="360" w:after="240" w:line="270" w:lineRule="exact"/>
      <w:ind w:left="1134" w:right="1134" w:hanging="1134"/>
    </w:pPr>
    <w:rPr>
      <w:b/>
      <w:sz w:val="24"/>
    </w:rPr>
  </w:style>
  <w:style w:type="paragraph" w:customStyle="1" w:styleId="H23G">
    <w:name w:val="_ H_2/3_G"/>
    <w:basedOn w:val="Normal"/>
    <w:next w:val="Normal"/>
    <w:rsid w:val="009636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6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6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63690"/>
    <w:pPr>
      <w:spacing w:after="120"/>
      <w:ind w:left="1134" w:right="1134"/>
      <w:jc w:val="both"/>
    </w:pPr>
    <w:rPr>
      <w:rFonts w:eastAsia="Times New Roman"/>
      <w:lang w:eastAsia="en-US"/>
    </w:rPr>
  </w:style>
  <w:style w:type="paragraph" w:customStyle="1" w:styleId="SLG">
    <w:name w:val="__S_L_G"/>
    <w:basedOn w:val="Normal"/>
    <w:next w:val="Normal"/>
    <w:rsid w:val="00963690"/>
    <w:pPr>
      <w:keepNext/>
      <w:keepLines/>
      <w:spacing w:before="240" w:after="240" w:line="580" w:lineRule="exact"/>
      <w:ind w:left="1134" w:right="1134"/>
    </w:pPr>
    <w:rPr>
      <w:b/>
      <w:sz w:val="56"/>
    </w:rPr>
  </w:style>
  <w:style w:type="paragraph" w:customStyle="1" w:styleId="SMG">
    <w:name w:val="__S_M_G"/>
    <w:basedOn w:val="Normal"/>
    <w:next w:val="Normal"/>
    <w:rsid w:val="00963690"/>
    <w:pPr>
      <w:keepNext/>
      <w:keepLines/>
      <w:spacing w:before="240" w:after="240" w:line="420" w:lineRule="exact"/>
      <w:ind w:left="1134" w:right="1134"/>
    </w:pPr>
    <w:rPr>
      <w:b/>
      <w:sz w:val="40"/>
    </w:rPr>
  </w:style>
  <w:style w:type="paragraph" w:customStyle="1" w:styleId="SSG">
    <w:name w:val="__S_S_G"/>
    <w:basedOn w:val="Normal"/>
    <w:next w:val="Normal"/>
    <w:rsid w:val="00963690"/>
    <w:pPr>
      <w:keepNext/>
      <w:keepLines/>
      <w:spacing w:before="240" w:after="240" w:line="300" w:lineRule="exact"/>
      <w:ind w:left="1134" w:right="1134"/>
    </w:pPr>
    <w:rPr>
      <w:b/>
      <w:sz w:val="28"/>
    </w:rPr>
  </w:style>
  <w:style w:type="paragraph" w:customStyle="1" w:styleId="XLargeG">
    <w:name w:val="__XLarge_G"/>
    <w:basedOn w:val="Normal"/>
    <w:next w:val="Normal"/>
    <w:rsid w:val="00963690"/>
    <w:pPr>
      <w:keepNext/>
      <w:keepLines/>
      <w:spacing w:before="240" w:after="240" w:line="420" w:lineRule="exact"/>
      <w:ind w:left="1134" w:right="1134"/>
    </w:pPr>
    <w:rPr>
      <w:b/>
      <w:sz w:val="40"/>
    </w:rPr>
  </w:style>
  <w:style w:type="paragraph" w:customStyle="1" w:styleId="Bullet1G">
    <w:name w:val="_Bullet 1_G"/>
    <w:basedOn w:val="Normal"/>
    <w:rsid w:val="00963690"/>
    <w:pPr>
      <w:numPr>
        <w:numId w:val="1"/>
      </w:numPr>
      <w:spacing w:after="120"/>
      <w:ind w:right="1134"/>
      <w:jc w:val="both"/>
    </w:pPr>
  </w:style>
  <w:style w:type="paragraph" w:customStyle="1" w:styleId="Bullet2G">
    <w:name w:val="_Bullet 2_G"/>
    <w:basedOn w:val="Normal"/>
    <w:rsid w:val="00963690"/>
    <w:pPr>
      <w:numPr>
        <w:numId w:val="2"/>
      </w:numPr>
      <w:spacing w:after="120"/>
      <w:ind w:right="1134"/>
      <w:jc w:val="both"/>
    </w:pPr>
  </w:style>
  <w:style w:type="paragraph" w:customStyle="1" w:styleId="AnnoHCHG">
    <w:name w:val="Anno _ H_CH_G"/>
    <w:basedOn w:val="Normal"/>
    <w:next w:val="AnnoH1G"/>
    <w:rsid w:val="00963690"/>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963690"/>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CD41F3"/>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C12D57"/>
    <w:pPr>
      <w:numPr>
        <w:ilvl w:val="3"/>
        <w:numId w:val="3"/>
      </w:numPr>
      <w:spacing w:after="120"/>
      <w:ind w:left="1134" w:right="1134" w:firstLine="0"/>
      <w:jc w:val="both"/>
    </w:pPr>
  </w:style>
  <w:style w:type="character" w:styleId="FootnoteReference">
    <w:name w:val="footnote reference"/>
    <w:aliases w:val="4_G,16 Point,Superscript 6 Point,Ref,de nota al pie,number,Footnote text,Footnote reference number,Footnote symbol,note TESI,-E Fußnotenzeichen,SUPERS,stylish,ftref,Footnote Text1,Footnote Text Char2 Char"/>
    <w:rsid w:val="00963690"/>
    <w:rPr>
      <w:rFonts w:ascii="Times New Roman" w:hAnsi="Times New Roman"/>
      <w:sz w:val="18"/>
      <w:vertAlign w:val="superscript"/>
    </w:rPr>
  </w:style>
  <w:style w:type="character" w:styleId="EndnoteReference">
    <w:name w:val="endnote reference"/>
    <w:aliases w:val="1_G"/>
    <w:rsid w:val="00963690"/>
    <w:rPr>
      <w:rFonts w:ascii="Times New Roman" w:hAnsi="Times New Roman"/>
      <w:sz w:val="18"/>
      <w:vertAlign w:val="superscript"/>
    </w:rPr>
  </w:style>
  <w:style w:type="paragraph" w:styleId="EndnoteText">
    <w:name w:val="endnote text"/>
    <w:aliases w:val="2_G"/>
    <w:basedOn w:val="FootnoteText"/>
    <w:rsid w:val="00963690"/>
  </w:style>
  <w:style w:type="paragraph" w:styleId="FootnoteText">
    <w:name w:val="footnote text"/>
    <w:aliases w:val="5_G,Geneva 9,Font: Geneva 9,Boston 10,f,fn,footnote text,Footnotes,Footnote ak,Char,-E Fußnotentext,Fußnotentext Ursprung,-E Fußnotentext1,-E Fußnotentext2,-E Fußnotentext3,Char Char Char Char,Default Paragraph Font Char Char,Footno"/>
    <w:basedOn w:val="Normal"/>
    <w:link w:val="FootnoteTextChar"/>
    <w:rsid w:val="00963690"/>
    <w:pPr>
      <w:tabs>
        <w:tab w:val="right" w:pos="1021"/>
      </w:tabs>
      <w:spacing w:line="220" w:lineRule="exact"/>
      <w:ind w:left="1134" w:right="1134" w:hanging="1134"/>
    </w:pPr>
    <w:rPr>
      <w:sz w:val="18"/>
    </w:rPr>
  </w:style>
  <w:style w:type="paragraph" w:styleId="Footer">
    <w:name w:val="footer"/>
    <w:aliases w:val="3_G"/>
    <w:basedOn w:val="Normal"/>
    <w:rsid w:val="00963690"/>
    <w:rPr>
      <w:sz w:val="16"/>
    </w:rPr>
  </w:style>
  <w:style w:type="paragraph" w:customStyle="1" w:styleId="FootnoteTable">
    <w:name w:val="Footnote Table"/>
    <w:basedOn w:val="Normal"/>
    <w:rsid w:val="00963690"/>
    <w:pPr>
      <w:spacing w:line="220" w:lineRule="exact"/>
      <w:jc w:val="both"/>
    </w:pPr>
    <w:rPr>
      <w:sz w:val="18"/>
    </w:rPr>
  </w:style>
  <w:style w:type="paragraph" w:styleId="Header">
    <w:name w:val="header"/>
    <w:aliases w:val="6_G"/>
    <w:basedOn w:val="Normal"/>
    <w:rsid w:val="00963690"/>
    <w:pPr>
      <w:pBdr>
        <w:bottom w:val="single" w:sz="4" w:space="4" w:color="auto"/>
      </w:pBdr>
    </w:pPr>
    <w:rPr>
      <w:b/>
      <w:sz w:val="18"/>
    </w:rPr>
  </w:style>
  <w:style w:type="character" w:styleId="PageNumber">
    <w:name w:val="page number"/>
    <w:aliases w:val="7_G"/>
    <w:rsid w:val="00963690"/>
    <w:rPr>
      <w:rFonts w:ascii="Times New Roman" w:hAnsi="Times New Roman"/>
      <w:b/>
      <w:sz w:val="18"/>
    </w:rPr>
  </w:style>
  <w:style w:type="paragraph" w:customStyle="1" w:styleId="RegHChG">
    <w:name w:val="Reg_H__Ch_G"/>
    <w:basedOn w:val="Normal"/>
    <w:next w:val="RegH1G"/>
    <w:rsid w:val="00963690"/>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963690"/>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963690"/>
    <w:pPr>
      <w:keepNext/>
      <w:keepLines/>
      <w:numPr>
        <w:ilvl w:val="2"/>
        <w:numId w:val="4"/>
      </w:numPr>
      <w:spacing w:before="240" w:after="120" w:line="240" w:lineRule="exact"/>
      <w:ind w:right="1134"/>
    </w:pPr>
    <w:rPr>
      <w:b/>
    </w:rPr>
  </w:style>
  <w:style w:type="paragraph" w:customStyle="1" w:styleId="RegSingleTxtG">
    <w:name w:val="Reg_Single Txt_G"/>
    <w:basedOn w:val="Normal"/>
    <w:rsid w:val="00963690"/>
    <w:pPr>
      <w:numPr>
        <w:ilvl w:val="3"/>
        <w:numId w:val="4"/>
      </w:numPr>
      <w:tabs>
        <w:tab w:val="left" w:pos="1701"/>
      </w:tabs>
      <w:spacing w:after="120"/>
      <w:ind w:right="1134"/>
      <w:jc w:val="both"/>
    </w:pPr>
  </w:style>
  <w:style w:type="paragraph" w:styleId="TOC1">
    <w:name w:val="toc 1"/>
    <w:basedOn w:val="Normal"/>
    <w:next w:val="Normal"/>
    <w:autoRedefine/>
    <w:uiPriority w:val="39"/>
    <w:rsid w:val="00315709"/>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uiPriority w:val="39"/>
    <w:rsid w:val="00963690"/>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963690"/>
    <w:pPr>
      <w:spacing w:line="240" w:lineRule="auto"/>
    </w:pPr>
    <w:rPr>
      <w:rFonts w:ascii="Tahoma" w:hAnsi="Tahoma" w:cs="Tahoma"/>
      <w:sz w:val="16"/>
      <w:szCs w:val="16"/>
    </w:rPr>
  </w:style>
  <w:style w:type="character" w:customStyle="1" w:styleId="BalloonTextChar">
    <w:name w:val="Balloon Text Char"/>
    <w:link w:val="BalloonText"/>
    <w:rsid w:val="00963690"/>
    <w:rPr>
      <w:rFonts w:ascii="Tahoma" w:eastAsia="SimSun" w:hAnsi="Tahoma" w:cs="Tahoma"/>
      <w:sz w:val="16"/>
      <w:szCs w:val="16"/>
      <w:lang w:val="en-GB" w:eastAsia="zh-CN"/>
    </w:rPr>
  </w:style>
  <w:style w:type="paragraph" w:styleId="ListParagraph">
    <w:name w:val="List Paragraph"/>
    <w:basedOn w:val="Normal"/>
    <w:uiPriority w:val="34"/>
    <w:qFormat/>
    <w:rsid w:val="00963690"/>
    <w:pPr>
      <w:ind w:left="720"/>
      <w:contextualSpacing/>
    </w:pPr>
  </w:style>
  <w:style w:type="character" w:customStyle="1" w:styleId="Heading2Char">
    <w:name w:val="Heading 2 Char"/>
    <w:link w:val="Heading2"/>
    <w:semiHidden/>
    <w:rsid w:val="00963690"/>
    <w:rPr>
      <w:rFonts w:ascii="Cambria" w:eastAsia="Times New Roman" w:hAnsi="Cambria" w:cs="Times New Roman"/>
      <w:b/>
      <w:bCs/>
      <w:color w:val="4F81BD"/>
      <w:sz w:val="26"/>
      <w:szCs w:val="26"/>
      <w:lang w:val="en-GB" w:eastAsia="zh-CN"/>
    </w:rPr>
  </w:style>
  <w:style w:type="character" w:customStyle="1" w:styleId="Heading4Char">
    <w:name w:val="Heading 4 Char"/>
    <w:link w:val="Heading4"/>
    <w:semiHidden/>
    <w:rsid w:val="00963690"/>
    <w:rPr>
      <w:rFonts w:ascii="Cambria" w:eastAsia="Times New Roman" w:hAnsi="Cambria" w:cs="Times New Roman"/>
      <w:b/>
      <w:bCs/>
      <w:i/>
      <w:iCs/>
      <w:color w:val="4F81BD"/>
      <w:lang w:val="en-GB" w:eastAsia="zh-CN"/>
    </w:rPr>
  </w:style>
  <w:style w:type="character" w:customStyle="1" w:styleId="Heading5Char">
    <w:name w:val="Heading 5 Char"/>
    <w:link w:val="Heading5"/>
    <w:semiHidden/>
    <w:rsid w:val="00963690"/>
    <w:rPr>
      <w:rFonts w:ascii="Cambria" w:eastAsia="Times New Roman" w:hAnsi="Cambria" w:cs="Times New Roman"/>
      <w:color w:val="243F60"/>
      <w:lang w:val="en-GB" w:eastAsia="zh-CN"/>
    </w:rPr>
  </w:style>
  <w:style w:type="paragraph" w:customStyle="1" w:styleId="ListParagraphforAnnexes">
    <w:name w:val="List Paragraph for Annexes"/>
    <w:basedOn w:val="ListParagraph"/>
    <w:qFormat/>
    <w:rsid w:val="001007C9"/>
    <w:pPr>
      <w:spacing w:before="120" w:after="120" w:line="240" w:lineRule="exact"/>
      <w:contextualSpacing w:val="0"/>
    </w:pPr>
  </w:style>
  <w:style w:type="table" w:styleId="TableGrid">
    <w:name w:val="Table Grid"/>
    <w:basedOn w:val="TableNormal"/>
    <w:uiPriority w:val="59"/>
    <w:rsid w:val="00EC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Geneva 9 Char,Font: Geneva 9 Char,Boston 10 Char,f Char,fn Char,footnote text Char,Footnotes Char,Footnote ak Char,Char Char,-E Fußnotentext Char,Fußnotentext Ursprung Char,-E Fußnotentext1 Char,-E Fußnotentext2 Char"/>
    <w:link w:val="FootnoteText"/>
    <w:rsid w:val="00EC121C"/>
    <w:rPr>
      <w:rFonts w:eastAsia="SimSun"/>
      <w:sz w:val="18"/>
      <w:lang w:eastAsia="zh-CN"/>
    </w:rPr>
  </w:style>
  <w:style w:type="character" w:styleId="Hyperlink">
    <w:name w:val="Hyperlink"/>
    <w:basedOn w:val="DefaultParagraphFont"/>
    <w:rsid w:val="00FC136F"/>
    <w:rPr>
      <w:color w:val="0000FF" w:themeColor="hyperlink"/>
      <w:u w:val="single"/>
    </w:rPr>
  </w:style>
  <w:style w:type="paragraph" w:styleId="TOC4">
    <w:name w:val="toc 4"/>
    <w:basedOn w:val="Normal"/>
    <w:next w:val="Normal"/>
    <w:autoRedefine/>
    <w:rsid w:val="0015132D"/>
    <w:pPr>
      <w:spacing w:after="100"/>
      <w:ind w:left="600"/>
    </w:pPr>
  </w:style>
  <w:style w:type="paragraph" w:styleId="TOC5">
    <w:name w:val="toc 5"/>
    <w:basedOn w:val="Normal"/>
    <w:next w:val="Normal"/>
    <w:autoRedefine/>
    <w:rsid w:val="0015132D"/>
    <w:pPr>
      <w:spacing w:after="100"/>
      <w:ind w:left="800"/>
    </w:pPr>
  </w:style>
  <w:style w:type="paragraph" w:styleId="TOC6">
    <w:name w:val="toc 6"/>
    <w:basedOn w:val="Normal"/>
    <w:next w:val="Normal"/>
    <w:autoRedefine/>
    <w:rsid w:val="0015132D"/>
    <w:pPr>
      <w:spacing w:after="100"/>
      <w:ind w:left="1000"/>
    </w:pPr>
  </w:style>
  <w:style w:type="paragraph" w:styleId="TOC7">
    <w:name w:val="toc 7"/>
    <w:basedOn w:val="Normal"/>
    <w:next w:val="Normal"/>
    <w:autoRedefine/>
    <w:rsid w:val="0015132D"/>
    <w:pPr>
      <w:spacing w:after="100"/>
      <w:ind w:left="1200"/>
    </w:pPr>
  </w:style>
  <w:style w:type="paragraph" w:styleId="TOC8">
    <w:name w:val="toc 8"/>
    <w:basedOn w:val="Normal"/>
    <w:next w:val="Normal"/>
    <w:autoRedefine/>
    <w:rsid w:val="0015132D"/>
    <w:pPr>
      <w:spacing w:after="100"/>
      <w:ind w:left="1400"/>
    </w:pPr>
  </w:style>
  <w:style w:type="paragraph" w:styleId="TOC9">
    <w:name w:val="toc 9"/>
    <w:basedOn w:val="Normal"/>
    <w:next w:val="Normal"/>
    <w:autoRedefine/>
    <w:rsid w:val="0015132D"/>
    <w:pPr>
      <w:spacing w:after="100"/>
      <w:ind w:left="1600"/>
    </w:pPr>
  </w:style>
  <w:style w:type="character" w:styleId="CommentReference">
    <w:name w:val="annotation reference"/>
    <w:basedOn w:val="DefaultParagraphFont"/>
    <w:rsid w:val="008A004A"/>
    <w:rPr>
      <w:sz w:val="16"/>
      <w:szCs w:val="16"/>
    </w:rPr>
  </w:style>
  <w:style w:type="paragraph" w:styleId="CommentText">
    <w:name w:val="annotation text"/>
    <w:basedOn w:val="Normal"/>
    <w:link w:val="CommentTextChar"/>
    <w:rsid w:val="008A004A"/>
    <w:pPr>
      <w:spacing w:line="240" w:lineRule="auto"/>
    </w:pPr>
  </w:style>
  <w:style w:type="character" w:customStyle="1" w:styleId="CommentTextChar">
    <w:name w:val="Comment Text Char"/>
    <w:basedOn w:val="DefaultParagraphFont"/>
    <w:link w:val="CommentText"/>
    <w:rsid w:val="008A004A"/>
    <w:rPr>
      <w:rFonts w:eastAsia="SimSun"/>
      <w:lang w:eastAsia="zh-CN"/>
    </w:rPr>
  </w:style>
  <w:style w:type="paragraph" w:styleId="CommentSubject">
    <w:name w:val="annotation subject"/>
    <w:basedOn w:val="CommentText"/>
    <w:next w:val="CommentText"/>
    <w:link w:val="CommentSubjectChar"/>
    <w:rsid w:val="008A004A"/>
    <w:rPr>
      <w:b/>
      <w:bCs/>
    </w:rPr>
  </w:style>
  <w:style w:type="character" w:customStyle="1" w:styleId="CommentSubjectChar">
    <w:name w:val="Comment Subject Char"/>
    <w:basedOn w:val="CommentTextChar"/>
    <w:link w:val="CommentSubject"/>
    <w:rsid w:val="008A004A"/>
    <w:rPr>
      <w:rFonts w:eastAsia="SimSun"/>
      <w:b/>
      <w:bCs/>
      <w:lang w:eastAsia="zh-CN"/>
    </w:rPr>
  </w:style>
  <w:style w:type="paragraph" w:styleId="Revision">
    <w:name w:val="Revision"/>
    <w:hidden/>
    <w:uiPriority w:val="99"/>
    <w:semiHidden/>
    <w:rsid w:val="00F85734"/>
    <w:rPr>
      <w:rFonts w:eastAsia="SimSun"/>
      <w:lang w:eastAsia="zh-CN"/>
    </w:rPr>
  </w:style>
  <w:style w:type="paragraph" w:customStyle="1" w:styleId="Default">
    <w:name w:val="Default"/>
    <w:rsid w:val="007F3E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84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Office14.UNFCCC\Templates\Word\FCC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464F-F65D-4EBB-B2F4-8B1FC9C9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FCCC</Template>
  <TotalTime>0</TotalTime>
  <Pages>14</Pages>
  <Words>6095</Words>
  <Characters>34748</Characters>
  <Application>Microsoft Office Word</Application>
  <DocSecurity>0</DocSecurity>
  <Lines>289</Lines>
  <Paragraphs>81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UNFCCC</Company>
  <LinksUpToDate>false</LinksUpToDate>
  <CharactersWithSpaces>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Yitebitu Moges</cp:lastModifiedBy>
  <cp:revision>2</cp:revision>
  <cp:lastPrinted>2016-07-29T11:03:00Z</cp:lastPrinted>
  <dcterms:created xsi:type="dcterms:W3CDTF">2017-05-18T12:53:00Z</dcterms:created>
  <dcterms:modified xsi:type="dcterms:W3CDTF">2017-05-18T12:53:00Z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xx</vt:lpwstr>
  </property>
  <property fmtid="{D5CDD505-2E9C-101B-9397-08002B2CF9AE}" pid="3" name="docSymbol2">
    <vt:lpwstr/>
  </property>
  <property fmtid="{D5CDD505-2E9C-101B-9397-08002B2CF9AE}" pid="4" name="_DocHome">
    <vt:i4>-446954391</vt:i4>
  </property>
  <property fmtid="{D5CDD505-2E9C-101B-9397-08002B2CF9AE}" pid="5" name="_NewReviewCycle">
    <vt:lpwstr/>
  </property>
</Properties>
</file>